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66522F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6522F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66522F">
              <w:rPr>
                <w:rFonts w:ascii="Tahoma" w:hAnsi="Tahoma" w:cs="Tahoma"/>
              </w:rPr>
              <w:br w:type="column"/>
            </w:r>
            <w:r w:rsidRPr="0066522F">
              <w:rPr>
                <w:rFonts w:ascii="Tahoma" w:hAnsi="Tahoma" w:cs="Tahoma"/>
              </w:rPr>
              <w:br w:type="column"/>
            </w:r>
            <w:r w:rsidRPr="0066522F">
              <w:rPr>
                <w:rFonts w:ascii="Tahoma" w:hAnsi="Tahoma" w:cs="Tahoma"/>
              </w:rPr>
              <w:br w:type="page"/>
            </w:r>
            <w:r w:rsidRPr="0066522F">
              <w:rPr>
                <w:rFonts w:ascii="Tahoma" w:hAnsi="Tahoma" w:cs="Tahoma"/>
              </w:rPr>
              <w:br w:type="page"/>
            </w:r>
            <w:r w:rsidR="00B97590" w:rsidRPr="0066522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66522F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6522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66522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E20EC" w:rsidRDefault="005D5311" w:rsidP="00827A92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9B294C"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AA6475" w:rsidRPr="00CE20EC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Pr="00CE20EC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8F0D74" w:rsidRPr="00CE20EC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ма</w:t>
            </w:r>
            <w:r w:rsidR="00827A92" w:rsidRPr="00CE20EC">
              <w:rPr>
                <w:rFonts w:ascii="Tahoma" w:hAnsi="Tahoma" w:cs="Tahoma"/>
                <w:color w:val="1F497D" w:themeColor="text2"/>
                <w:sz w:val="16"/>
              </w:rPr>
              <w:t>j</w:t>
            </w:r>
            <w:r w:rsidR="00AA6475" w:rsidRPr="00CE20EC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CE20EC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827A92"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5</w:t>
            </w:r>
            <w:r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CE20EC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66522F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66522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66522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66522F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66522F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E20EC" w:rsidRDefault="006F6AEE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ма</w:t>
            </w:r>
            <w:r w:rsidR="008B720B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</w:t>
            </w:r>
            <w:r w:rsidR="007E158B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CE20EC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66522F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E20EC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CE20EC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66522F" w:rsidRDefault="00B07584" w:rsidP="009215D1">
      <w:pPr>
        <w:spacing w:line="360" w:lineRule="auto"/>
        <w:jc w:val="both"/>
        <w:rPr>
          <w:lang w:val="sr-Cyrl-BA"/>
        </w:rPr>
      </w:pPr>
    </w:p>
    <w:p w:rsidR="00CC6C6E" w:rsidRPr="0066522F" w:rsidRDefault="00CC6C6E" w:rsidP="00CC6C6E">
      <w:pPr>
        <w:jc w:val="both"/>
        <w:rPr>
          <w:rFonts w:ascii="Tahoma" w:hAnsi="Tahoma" w:cs="Tahoma"/>
          <w:lang w:val="sr-Cyrl-CS"/>
        </w:rPr>
      </w:pPr>
      <w:r w:rsidRPr="0066522F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66522F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66522F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априлу 817</w:t>
      </w:r>
      <w:r w:rsidRPr="0066522F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CC6C6E" w:rsidRPr="0066522F" w:rsidRDefault="00CC6C6E" w:rsidP="00CC6C6E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66522F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66522F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66522F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66522F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66522F">
        <w:rPr>
          <w:rFonts w:ascii="Tahoma" w:hAnsi="Tahoma" w:cs="Tahoma"/>
          <w:sz w:val="24"/>
          <w:szCs w:val="24"/>
          <w:lang w:val="sr-Cyrl-CS"/>
        </w:rPr>
        <w:t>294</w:t>
      </w:r>
      <w:r w:rsidRPr="0066522F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66522F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66522F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66522F">
        <w:rPr>
          <w:rFonts w:ascii="Tahoma" w:hAnsi="Tahoma" w:cs="Tahoma"/>
          <w:sz w:val="24"/>
          <w:szCs w:val="24"/>
          <w:lang w:val="sr-Cyrl-CS"/>
        </w:rPr>
        <w:t xml:space="preserve"> 549 КМ</w:t>
      </w:r>
    </w:p>
    <w:p w:rsidR="00CC6C6E" w:rsidRPr="0066522F" w:rsidRDefault="00CC6C6E" w:rsidP="00CC6C6E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66522F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66522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исплаћена у априлу 2012.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817 КМ</w:t>
      </w:r>
      <w:r w:rsidRPr="0066522F">
        <w:rPr>
          <w:rFonts w:ascii="Tahoma" w:hAnsi="Tahoma" w:cs="Tahoma"/>
          <w:sz w:val="18"/>
          <w:szCs w:val="18"/>
          <w:lang w:val="hr-HR"/>
        </w:rPr>
        <w:t>,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66522F">
        <w:rPr>
          <w:rFonts w:ascii="Tahoma" w:hAnsi="Tahoma" w:cs="Tahoma"/>
          <w:sz w:val="18"/>
          <w:szCs w:val="18"/>
          <w:lang w:val="sr-Cyrl-CS"/>
        </w:rPr>
        <w:t>росјечна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1 347 КМ. </w:t>
      </w: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Просјечна нето плата исплаћена у априлу 2012. године у односу на март 2012. године већа је номинално за 0,4% а реално за 1,3%. У односу на просјечну нето плату у 2011.</w:t>
      </w:r>
      <w:bookmarkStart w:id="0" w:name="_GoBack"/>
      <w:bookmarkEnd w:id="0"/>
      <w:r w:rsidRPr="0066522F">
        <w:rPr>
          <w:rFonts w:ascii="Tahoma" w:hAnsi="Tahoma" w:cs="Tahoma"/>
          <w:sz w:val="18"/>
          <w:szCs w:val="18"/>
          <w:lang w:val="sr-Cyrl-CS"/>
        </w:rPr>
        <w:t xml:space="preserve"> години, просјечна нето плата у априлу 2012. године већа је номинално за 1,0%, а реално је мања за 1,1%. У априлу 2012. године у односу на исти мјесец прошле године просјечна нето плата номинално је већа за 1,7%, а </w:t>
      </w:r>
      <w:r w:rsidRPr="0066522F">
        <w:rPr>
          <w:rFonts w:ascii="Tahoma" w:hAnsi="Tahoma" w:cs="Tahoma"/>
          <w:sz w:val="18"/>
          <w:szCs w:val="18"/>
          <w:lang w:val="sr-Cyrl-BA"/>
        </w:rPr>
        <w:t>реално је мања за 0,3%.</w:t>
      </w: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C6C6E" w:rsidRPr="0066522F" w:rsidRDefault="00CC6C6E" w:rsidP="00CC6C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априлу 2012. године, посматрано по подручјима дјелатности, исплаћена је у подручју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и износи 1 294 КМ, а најнижа у подручју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549 КМ.</w:t>
      </w:r>
    </w:p>
    <w:p w:rsidR="00CC6C6E" w:rsidRPr="0066522F" w:rsidRDefault="00CC6C6E" w:rsidP="00CC6C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CC6C6E" w:rsidRPr="0066522F" w:rsidRDefault="00CC6C6E" w:rsidP="00CC6C6E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У априлу 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66522F">
        <w:rPr>
          <w:rFonts w:ascii="Tahoma" w:hAnsi="Tahoma" w:cs="Tahoma"/>
          <w:sz w:val="18"/>
          <w:szCs w:val="18"/>
          <w:lang w:val="sr-Cyrl-CS"/>
        </w:rPr>
        <w:t>март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66522F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 xml:space="preserve"> Пољопривреда, лов и шумарство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за 3,9%,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Грађевинарство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 3,2% и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 2,6%, док је номинално нижа плата у подручјима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 xml:space="preserve"> Трговина на велико и трговина на мало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 1,0%,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Остале услужне дјелатности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 0,9% и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 xml:space="preserve">Државна управа и одбрана </w:t>
      </w:r>
      <w:r w:rsidRPr="0066522F">
        <w:rPr>
          <w:rFonts w:ascii="Tahoma" w:hAnsi="Tahoma" w:cs="Tahoma"/>
          <w:sz w:val="18"/>
          <w:szCs w:val="18"/>
          <w:lang w:val="sr-Cyrl-CS"/>
        </w:rPr>
        <w:t>за 0,8%.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66522F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66522F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66522F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66522F" w:rsidRDefault="003E5FB2" w:rsidP="000267D1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3E5FB2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7.05pt;margin-top:204.55pt;width:195.4pt;height:23.95pt;z-index:251669504;mso-width-relative:margin;mso-height-relative:margin" strokecolor="white [3212]">
            <v:textbox>
              <w:txbxContent>
                <w:p w:rsidR="00654E7C" w:rsidRPr="00297CBC" w:rsidRDefault="00654E7C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2012.</w:t>
                  </w:r>
                </w:p>
              </w:txbxContent>
            </v:textbox>
          </v:shape>
        </w:pict>
      </w:r>
      <w:r w:rsidR="000267D1" w:rsidRPr="0066522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308324" cy="3156668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E5FB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12.65pt;margin-top:9.8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654E7C" w:rsidRPr="00B32263" w:rsidRDefault="00654E7C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Pr="003E5FB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654E7C" w:rsidRPr="00860DF8" w:rsidRDefault="00654E7C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66522F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66522F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66522F" w:rsidRDefault="000328B8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66522F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>.</w:t>
      </w:r>
      <w:r w:rsidR="005E0301"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66522F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66522F">
        <w:rPr>
          <w:rFonts w:ascii="Tahoma" w:hAnsi="Tahoma" w:cs="Tahoma"/>
          <w:sz w:val="18"/>
          <w:szCs w:val="18"/>
        </w:rPr>
        <w:t>e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66522F">
        <w:rPr>
          <w:rFonts w:ascii="Tahoma" w:hAnsi="Tahoma" w:cs="Tahoma"/>
          <w:sz w:val="18"/>
          <w:szCs w:val="18"/>
        </w:rPr>
        <w:t>e</w:t>
      </w:r>
      <w:r w:rsidR="005E0301" w:rsidRPr="0066522F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66522F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66522F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66522F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66522F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66522F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827A92" w:rsidRPr="0066522F" w:rsidRDefault="00827A92" w:rsidP="00827A92">
      <w:pPr>
        <w:jc w:val="both"/>
        <w:rPr>
          <w:rFonts w:ascii="Tahoma" w:hAnsi="Tahoma" w:cs="Tahoma"/>
          <w:b/>
          <w:sz w:val="28"/>
          <w:szCs w:val="28"/>
        </w:rPr>
      </w:pPr>
      <w:r w:rsidRPr="0066522F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априлу 2012. године -0,9%</w:t>
      </w:r>
    </w:p>
    <w:p w:rsidR="00827A92" w:rsidRPr="0066522F" w:rsidRDefault="00D14AA4" w:rsidP="00827A92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66522F">
        <w:rPr>
          <w:rFonts w:ascii="Tahoma" w:hAnsi="Tahoma" w:cs="Tahoma"/>
          <w:b/>
          <w:sz w:val="28"/>
          <w:szCs w:val="28"/>
          <w:lang w:val="sr-Cyrl-BA"/>
        </w:rPr>
        <w:t>Годишња инфлација (април 2012/</w:t>
      </w:r>
      <w:r w:rsidR="00827A92" w:rsidRPr="0066522F">
        <w:rPr>
          <w:rFonts w:ascii="Tahoma" w:hAnsi="Tahoma" w:cs="Tahoma"/>
          <w:b/>
          <w:sz w:val="28"/>
          <w:szCs w:val="28"/>
          <w:lang w:val="sr-Cyrl-BA"/>
        </w:rPr>
        <w:t>април 2011) 2,0%</w:t>
      </w:r>
    </w:p>
    <w:p w:rsidR="00827A92" w:rsidRPr="0066522F" w:rsidRDefault="00827A92" w:rsidP="00827A92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827A92" w:rsidRPr="0066522F" w:rsidRDefault="00827A92" w:rsidP="00827A92">
      <w:pPr>
        <w:pStyle w:val="Body2"/>
        <w:tabs>
          <w:tab w:val="left" w:pos="720"/>
        </w:tabs>
        <w:ind w:firstLine="0"/>
        <w:rPr>
          <w:rFonts w:ascii="Tahoma" w:hAnsi="Tahoma" w:cs="Tahoma"/>
          <w:lang w:val="sr-Cyrl-BA"/>
        </w:rPr>
      </w:pPr>
      <w:r w:rsidRPr="0066522F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априлу 2012. године у односу на март 2012. године, ниже су у просјеку за 0,9%.</w:t>
      </w: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Овакаво кретање цијена резултирало је преласком обрачуна електричне енергије са зимске на љетну тарифу,што је узроковало пад цијена у одјељку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9,8%.</w:t>
      </w:r>
    </w:p>
    <w:p w:rsidR="00827A92" w:rsidRPr="0066522F" w:rsidRDefault="00827A92" w:rsidP="00827A92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827A92" w:rsidRPr="0066522F" w:rsidRDefault="00827A92" w:rsidP="00827A92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Забиљежен је раст код 4 од укупно 12 одјељака. Највећи раст цијена у априлу забиљежен је у одјељцима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Превоз и Алкохолна пића и дуван.</w:t>
      </w:r>
    </w:p>
    <w:p w:rsidR="00827A92" w:rsidRPr="0066522F" w:rsidRDefault="00827A92" w:rsidP="00827A92">
      <w:pPr>
        <w:jc w:val="both"/>
        <w:rPr>
          <w:rFonts w:ascii="Tahoma" w:hAnsi="Tahoma" w:cs="Tahoma"/>
          <w:i/>
          <w:sz w:val="18"/>
          <w:szCs w:val="18"/>
        </w:rPr>
      </w:pP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Pr="0066522F">
        <w:rPr>
          <w:rFonts w:ascii="Tahoma" w:hAnsi="Tahoma" w:cs="Tahoma"/>
          <w:sz w:val="18"/>
          <w:szCs w:val="18"/>
          <w:lang w:val="sr-Cyrl-BA"/>
        </w:rPr>
        <w:t>гдје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је у априлу забиљежен највећи раст цијена од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0,9% највећи утицај имало је повећање цијена у групи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Горива и мазива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1,5% због повећања цијена појединих врста горива (овај мјесец је забиљежен пад цијена дизела, док је раст цијена био код безоловног бензина 98 и 95 октана). На раст индекса у одјељку Превоз утицало је и повећање цијена карте превоза на међуградским линијама у неким градовима.</w:t>
      </w: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0,7%, и то група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Дуван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биљежи раст 0,9% усљед поскупљења појединих врста цигара и група Алкохолна пића биљежи раст 0,2% усљед повећања цијене пива 0,8%. </w:t>
      </w:r>
    </w:p>
    <w:p w:rsidR="00827A92" w:rsidRPr="0066522F" w:rsidRDefault="00827A92" w:rsidP="00827A92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И у одјељку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забиљежен је раст 0,1%, и то група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0,1% због повећања цијена у подгрупама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Воће 1,6%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 xml:space="preserve">Поврће 0,4% и Остали прехрамбени производи 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0,2%. У подгрупи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Воће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је дошло до повећања цијена цитрусног воћа (наранџа, лимун, грејпфурт, мандарина, лимун, киви), као и повећања цијене банана, јабука, крушака. У подгрупи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Поврће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на повећање цијена су утицале веће цијене купуса, паприке, грашка, бораније и граха, а на повећање цијена у подгрупи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Остали прехрамбени производи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је утицало повећање цијена кухињске соли.   На повећање цијена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за 0,1% највише је утицало повећање цијена чаја 0,3%, кафе 0,2% и какаа 0,1%.</w:t>
      </w: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</w:rPr>
      </w:pP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У одјељку </w:t>
      </w:r>
      <w:r w:rsidRPr="0066522F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66522F">
        <w:rPr>
          <w:rFonts w:ascii="Tahoma" w:eastAsia="Calibri" w:hAnsi="Tahoma" w:cs="Tahoma"/>
          <w:sz w:val="18"/>
          <w:szCs w:val="18"/>
          <w:lang w:val="sr-Cyrl-BA"/>
        </w:rPr>
        <w:t xml:space="preserve"> који биљежи раст 0,1% дошло је до повећања цијена фармацеутских производа за 0,2%.</w:t>
      </w:r>
    </w:p>
    <w:p w:rsidR="00827A92" w:rsidRPr="0066522F" w:rsidRDefault="00827A92" w:rsidP="00827A92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827A92" w:rsidRPr="0066522F" w:rsidRDefault="00827A92" w:rsidP="00827A92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66522F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априлу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66522F">
        <w:rPr>
          <w:rFonts w:ascii="Tahoma" w:hAnsi="Tahoma" w:cs="Tahoma"/>
          <w:sz w:val="18"/>
          <w:szCs w:val="18"/>
          <w:lang w:val="sr-Cyrl-BA"/>
        </w:rPr>
        <w:t>године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66522F">
        <w:rPr>
          <w:rFonts w:ascii="Tahoma" w:hAnsi="Tahoma" w:cs="Tahoma"/>
          <w:sz w:val="18"/>
          <w:szCs w:val="18"/>
          <w:lang w:val="sr-Cyrl-BA"/>
        </w:rPr>
        <w:t>године,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за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2,0%.</w:t>
      </w:r>
    </w:p>
    <w:p w:rsidR="00827A92" w:rsidRPr="0066522F" w:rsidRDefault="00827A92" w:rsidP="00827A92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априлу 2012. године у односу на април 2011. године, највиши раст забиљежен је  код одјељка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9,1%,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7,6%,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4,3%,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2,0%</w:t>
      </w:r>
      <w:r w:rsidRPr="0066522F">
        <w:rPr>
          <w:rFonts w:ascii="Tahoma" w:hAnsi="Tahoma" w:cs="Tahoma"/>
          <w:sz w:val="18"/>
          <w:szCs w:val="18"/>
          <w:lang w:val="sr-Cyrl-BA"/>
        </w:rPr>
        <w:t>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1,6%,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Pr="0066522F">
        <w:rPr>
          <w:rFonts w:ascii="Tahoma" w:hAnsi="Tahoma" w:cs="Tahoma"/>
          <w:sz w:val="18"/>
          <w:szCs w:val="18"/>
          <w:lang w:val="sr-Cyrl-BA"/>
        </w:rPr>
        <w:t>и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услуге за 0,5%,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0,4%,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за 0,3%,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за 0,1%. Индекс одјељка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Рекрација и култура у просјеку је остао исти.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Индекс одјељка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Здравство </w:t>
      </w:r>
      <w:r w:rsidRPr="0066522F">
        <w:rPr>
          <w:rFonts w:ascii="Tahoma" w:hAnsi="Tahoma" w:cs="Tahoma"/>
          <w:sz w:val="18"/>
          <w:szCs w:val="18"/>
          <w:lang w:val="sr-Cyrl-BA"/>
        </w:rPr>
        <w:t>нижи је за 0,3%,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66522F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нижи за 4,1%.</w:t>
      </w:r>
    </w:p>
    <w:p w:rsidR="00F04921" w:rsidRPr="0066522F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F04921" w:rsidRPr="0066522F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66522F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66522F">
        <w:rPr>
          <w:rFonts w:ascii="Tahoma" w:hAnsi="Tahoma" w:cs="Tahoma"/>
          <w:b/>
          <w:sz w:val="28"/>
          <w:szCs w:val="28"/>
        </w:rPr>
        <w:t>IV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66522F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66522F">
        <w:rPr>
          <w:rFonts w:ascii="Tahoma" w:hAnsi="Tahoma" w:cs="Tahoma"/>
          <w:b/>
          <w:sz w:val="28"/>
          <w:szCs w:val="28"/>
          <w:lang w:val="sr-Latn-CS"/>
        </w:rPr>
        <w:t>III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D14AA4" w:rsidRPr="0066522F">
        <w:rPr>
          <w:rFonts w:ascii="Tahoma" w:hAnsi="Tahoma" w:cs="Tahoma"/>
          <w:b/>
          <w:sz w:val="28"/>
          <w:szCs w:val="28"/>
          <w:lang w:val="sr-Latn-CS"/>
        </w:rPr>
        <w:t>2</w:t>
      </w:r>
      <w:r w:rsidR="00D14AA4" w:rsidRPr="0066522F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66522F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Pr="0066522F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A27956" w:rsidRPr="0066522F" w:rsidRDefault="00A27956" w:rsidP="00A27956">
      <w:pPr>
        <w:jc w:val="both"/>
        <w:rPr>
          <w:rFonts w:ascii="Tahoma" w:hAnsi="Tahoma" w:cs="Tahoma"/>
          <w:lang w:val="sr-Cyrl-CS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Цијен</w:t>
      </w:r>
      <w:r w:rsidRPr="0066522F">
        <w:rPr>
          <w:rFonts w:ascii="Tahoma" w:hAnsi="Tahoma" w:cs="Tahoma"/>
          <w:sz w:val="18"/>
          <w:szCs w:val="18"/>
        </w:rPr>
        <w:t>e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66522F">
        <w:rPr>
          <w:rFonts w:ascii="Tahoma" w:hAnsi="Tahoma" w:cs="Tahoma"/>
          <w:sz w:val="18"/>
          <w:szCs w:val="18"/>
        </w:rPr>
        <w:t xml:space="preserve">a </w:t>
      </w:r>
      <w:r w:rsidRPr="0066522F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априлу </w:t>
      </w:r>
      <w:r w:rsidRPr="0066522F">
        <w:rPr>
          <w:rFonts w:ascii="Tahoma" w:hAnsi="Tahoma" w:cs="Tahoma"/>
          <w:sz w:val="18"/>
          <w:szCs w:val="18"/>
          <w:lang w:val="hr-HR"/>
        </w:rPr>
        <w:t>20</w:t>
      </w:r>
      <w:r w:rsidRPr="0066522F">
        <w:rPr>
          <w:rFonts w:ascii="Tahoma" w:hAnsi="Tahoma" w:cs="Tahoma"/>
          <w:sz w:val="18"/>
          <w:szCs w:val="18"/>
          <w:lang w:val="sr-Cyrl-CS"/>
        </w:rPr>
        <w:t>12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66522F">
        <w:rPr>
          <w:rFonts w:ascii="Tahoma" w:hAnsi="Tahoma" w:cs="Tahoma"/>
          <w:sz w:val="18"/>
          <w:szCs w:val="18"/>
          <w:lang w:val="hr-HR"/>
        </w:rPr>
        <w:t>у односу 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март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hr-HR"/>
        </w:rPr>
        <w:t>201</w:t>
      </w:r>
      <w:r w:rsidRPr="0066522F">
        <w:rPr>
          <w:rFonts w:ascii="Tahoma" w:hAnsi="Tahoma" w:cs="Tahoma"/>
          <w:sz w:val="18"/>
          <w:szCs w:val="18"/>
          <w:lang w:val="sr-Cyrl-CS"/>
        </w:rPr>
        <w:t>2</w:t>
      </w:r>
      <w:r w:rsidRPr="0066522F">
        <w:rPr>
          <w:rFonts w:ascii="Tahoma" w:hAnsi="Tahoma" w:cs="Tahoma"/>
          <w:sz w:val="18"/>
          <w:szCs w:val="18"/>
          <w:lang w:val="hr-HR"/>
        </w:rPr>
        <w:t>.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0,</w:t>
      </w:r>
      <w:r w:rsidRPr="0066522F">
        <w:rPr>
          <w:rFonts w:ascii="Tahoma" w:hAnsi="Tahoma" w:cs="Tahoma"/>
          <w:sz w:val="18"/>
          <w:szCs w:val="18"/>
          <w:lang w:val="sr-Latn-CS"/>
        </w:rPr>
        <w:t>1</w:t>
      </w:r>
      <w:r w:rsidRPr="0066522F">
        <w:rPr>
          <w:rFonts w:ascii="Tahoma" w:hAnsi="Tahoma" w:cs="Tahoma"/>
          <w:sz w:val="18"/>
          <w:szCs w:val="18"/>
          <w:lang w:val="sr-Cyrl-CS"/>
        </w:rPr>
        <w:t>%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у односу април 2011. године ниже су за </w:t>
      </w:r>
      <w:r w:rsidRPr="0066522F">
        <w:rPr>
          <w:rFonts w:ascii="Tahoma" w:hAnsi="Tahoma" w:cs="Tahoma"/>
          <w:sz w:val="18"/>
          <w:szCs w:val="18"/>
          <w:lang w:val="sr-Latn-CS"/>
        </w:rPr>
        <w:t>0,5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% и у односу на децембар 2011. године ниже су за </w:t>
      </w:r>
      <w:r w:rsidRPr="0066522F">
        <w:rPr>
          <w:rFonts w:ascii="Tahoma" w:hAnsi="Tahoma" w:cs="Tahoma"/>
          <w:sz w:val="18"/>
          <w:szCs w:val="18"/>
          <w:lang w:val="sr-Latn-CS"/>
        </w:rPr>
        <w:t>0,1</w:t>
      </w:r>
      <w:r w:rsidRPr="0066522F">
        <w:rPr>
          <w:rFonts w:ascii="Tahoma" w:hAnsi="Tahoma" w:cs="Tahoma"/>
          <w:sz w:val="18"/>
          <w:szCs w:val="18"/>
          <w:lang w:val="sr-Cyrl-CS"/>
        </w:rPr>
        <w:t>%</w:t>
      </w:r>
      <w:r w:rsidRPr="0066522F">
        <w:rPr>
          <w:rFonts w:ascii="Tahoma" w:hAnsi="Tahoma" w:cs="Tahoma"/>
          <w:sz w:val="18"/>
          <w:szCs w:val="18"/>
          <w:lang w:val="sr-Latn-CS"/>
        </w:rPr>
        <w:t>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hr-HR"/>
        </w:rPr>
        <w:t>Посматрано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66522F">
        <w:rPr>
          <w:rFonts w:ascii="Tahoma" w:hAnsi="Tahoma" w:cs="Tahoma"/>
          <w:sz w:val="18"/>
          <w:szCs w:val="18"/>
          <w:lang w:val="hr-HR"/>
        </w:rPr>
        <w:t>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66522F">
        <w:rPr>
          <w:rFonts w:ascii="Tahoma" w:hAnsi="Tahoma" w:cs="Tahoma"/>
          <w:sz w:val="18"/>
          <w:szCs w:val="18"/>
          <w:lang w:val="hr-HR"/>
        </w:rPr>
        <w:t>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априлу </w:t>
      </w:r>
      <w:r w:rsidRPr="0066522F">
        <w:rPr>
          <w:rFonts w:ascii="Tahoma" w:hAnsi="Tahoma" w:cs="Tahoma"/>
          <w:sz w:val="18"/>
          <w:szCs w:val="18"/>
          <w:lang w:val="hr-HR"/>
        </w:rPr>
        <w:t>20</w:t>
      </w:r>
      <w:r w:rsidRPr="0066522F">
        <w:rPr>
          <w:rFonts w:ascii="Tahoma" w:hAnsi="Tahoma" w:cs="Tahoma"/>
          <w:sz w:val="18"/>
          <w:szCs w:val="18"/>
          <w:lang w:val="sr-Cyrl-CS"/>
        </w:rPr>
        <w:t>12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66522F">
        <w:rPr>
          <w:rFonts w:ascii="Tahoma" w:hAnsi="Tahoma" w:cs="Tahoma"/>
          <w:sz w:val="18"/>
          <w:szCs w:val="18"/>
          <w:lang w:val="hr-HR"/>
        </w:rPr>
        <w:t>у односу 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март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hr-HR"/>
        </w:rPr>
        <w:t>201</w:t>
      </w:r>
      <w:r w:rsidRPr="0066522F">
        <w:rPr>
          <w:rFonts w:ascii="Tahoma" w:hAnsi="Tahoma" w:cs="Tahoma"/>
          <w:sz w:val="18"/>
          <w:szCs w:val="18"/>
          <w:lang w:val="sr-Cyrl-CS"/>
        </w:rPr>
        <w:t>2. године цијене енергије у просјеку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су ниже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0,4%</w:t>
      </w:r>
      <w:r w:rsidRPr="0066522F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у просјеку су више за 0,2%; док су цијене интермедијарних производа, цијене капиталних прозвода као и цијене трајних производа за широку потрошњу у просјеку остале на истом нивоу.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Цијене енергије, п</w:t>
      </w:r>
      <w:r w:rsidRPr="0066522F">
        <w:rPr>
          <w:rFonts w:ascii="Tahoma" w:hAnsi="Tahoma" w:cs="Tahoma"/>
          <w:sz w:val="18"/>
          <w:szCs w:val="18"/>
          <w:lang w:val="hr-HR"/>
        </w:rPr>
        <w:t>осматрано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66522F">
        <w:rPr>
          <w:rFonts w:ascii="Tahoma" w:hAnsi="Tahoma" w:cs="Tahoma"/>
          <w:sz w:val="18"/>
          <w:szCs w:val="18"/>
          <w:lang w:val="hr-HR"/>
        </w:rPr>
        <w:t>о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априлу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66522F">
        <w:rPr>
          <w:rFonts w:ascii="Tahoma" w:hAnsi="Tahoma" w:cs="Tahoma"/>
          <w:sz w:val="18"/>
          <w:szCs w:val="18"/>
          <w:lang w:val="sr-Cyrl-CS"/>
        </w:rPr>
        <w:t>12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66522F">
        <w:rPr>
          <w:rFonts w:ascii="Tahoma" w:hAnsi="Tahoma" w:cs="Tahoma"/>
          <w:sz w:val="18"/>
          <w:szCs w:val="18"/>
          <w:lang w:val="hr-HR"/>
        </w:rPr>
        <w:t>у односу 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 2011. године, у просјеку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су више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 1,3%, цијене нетрајних производа за широку потрошњу за 1,0%, цијене капиталних прозвода за 0,2%, цијене интермедијарних производа у просјеку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су ниже за 3,5%, док су цијене трајних производа за широку потрошњу у просјеку остале на истом нивоу.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66522F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66522F">
        <w:rPr>
          <w:rFonts w:ascii="Tahoma" w:hAnsi="Tahoma" w:cs="Tahoma"/>
          <w:sz w:val="18"/>
          <w:szCs w:val="18"/>
          <w:lang w:val="sr-Cyrl-CS"/>
        </w:rPr>
        <w:t>PRODCOM</w:t>
      </w:r>
      <w:r w:rsidRPr="0066522F">
        <w:rPr>
          <w:rFonts w:ascii="Tahoma" w:hAnsi="Tahoma" w:cs="Tahoma"/>
          <w:sz w:val="18"/>
          <w:szCs w:val="18"/>
          <w:lang w:val="hr-HR"/>
        </w:rPr>
        <w:t>)</w:t>
      </w:r>
      <w:r w:rsidRPr="0066522F">
        <w:rPr>
          <w:rFonts w:ascii="Tahoma" w:hAnsi="Tahoma" w:cs="Tahoma"/>
          <w:sz w:val="18"/>
          <w:szCs w:val="18"/>
          <w:lang w:val="sr-Cyrl-CS"/>
        </w:rPr>
        <w:t>,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(Ц)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66522F">
        <w:rPr>
          <w:rFonts w:ascii="Tahoma" w:hAnsi="Tahoma" w:cs="Tahoma"/>
          <w:sz w:val="18"/>
          <w:szCs w:val="18"/>
        </w:rPr>
        <w:t>,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hr-HR"/>
        </w:rPr>
        <w:t>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априлу </w:t>
      </w:r>
      <w:r w:rsidRPr="0066522F">
        <w:rPr>
          <w:rFonts w:ascii="Tahoma" w:hAnsi="Tahoma" w:cs="Tahoma"/>
          <w:sz w:val="18"/>
          <w:szCs w:val="18"/>
          <w:lang w:val="hr-HR"/>
        </w:rPr>
        <w:t>20</w:t>
      </w:r>
      <w:r w:rsidRPr="0066522F">
        <w:rPr>
          <w:rFonts w:ascii="Tahoma" w:hAnsi="Tahoma" w:cs="Tahoma"/>
          <w:sz w:val="18"/>
          <w:szCs w:val="18"/>
          <w:lang w:val="sr-Cyrl-CS"/>
        </w:rPr>
        <w:t>12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Cyrl-CS"/>
        </w:rPr>
        <w:t>године у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март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hr-HR"/>
        </w:rPr>
        <w:t>201</w:t>
      </w:r>
      <w:r w:rsidRPr="0066522F">
        <w:rPr>
          <w:rFonts w:ascii="Tahoma" w:hAnsi="Tahoma" w:cs="Tahoma"/>
          <w:sz w:val="18"/>
          <w:szCs w:val="18"/>
          <w:lang w:val="sr-Cyrl-CS"/>
        </w:rPr>
        <w:t>2</w:t>
      </w:r>
      <w:r w:rsidRPr="0066522F">
        <w:rPr>
          <w:rFonts w:ascii="Tahoma" w:hAnsi="Tahoma" w:cs="Tahoma"/>
          <w:sz w:val="18"/>
          <w:szCs w:val="18"/>
          <w:lang w:val="hr-HR"/>
        </w:rPr>
        <w:t>.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</w:t>
      </w:r>
      <w:r w:rsidRPr="0066522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 1,6%, цијене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подручја (Д) прерађивачка индустрија у просјеку су више за 0,1%, док су цијене подручја (Е)  производња и снабдијевање електричном енергијом, гасом и водом у просјеку остале на истом нивоу.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bs-Cyrl-BA"/>
        </w:rPr>
        <w:t>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априлу </w:t>
      </w:r>
      <w:r w:rsidRPr="0066522F">
        <w:rPr>
          <w:rFonts w:ascii="Tahoma" w:hAnsi="Tahoma" w:cs="Tahoma"/>
          <w:sz w:val="18"/>
          <w:szCs w:val="18"/>
          <w:lang w:val="hr-HR"/>
        </w:rPr>
        <w:t>20</w:t>
      </w:r>
      <w:r w:rsidRPr="0066522F">
        <w:rPr>
          <w:rFonts w:ascii="Tahoma" w:hAnsi="Tahoma" w:cs="Tahoma"/>
          <w:sz w:val="18"/>
          <w:szCs w:val="18"/>
          <w:lang w:val="sr-Cyrl-CS"/>
        </w:rPr>
        <w:t>12</w:t>
      </w:r>
      <w:r w:rsidRPr="0066522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66522F">
        <w:rPr>
          <w:rFonts w:ascii="Tahoma" w:hAnsi="Tahoma" w:cs="Tahoma"/>
          <w:sz w:val="18"/>
          <w:szCs w:val="18"/>
          <w:lang w:val="hr-HR"/>
        </w:rPr>
        <w:t>у односу 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април </w:t>
      </w:r>
      <w:r w:rsidRPr="0066522F">
        <w:rPr>
          <w:rFonts w:ascii="Tahoma" w:hAnsi="Tahoma" w:cs="Tahoma"/>
          <w:sz w:val="18"/>
          <w:szCs w:val="18"/>
          <w:lang w:val="hr-HR"/>
        </w:rPr>
        <w:t>20</w:t>
      </w:r>
      <w:r w:rsidRPr="0066522F">
        <w:rPr>
          <w:rFonts w:ascii="Tahoma" w:hAnsi="Tahoma" w:cs="Tahoma"/>
          <w:sz w:val="18"/>
          <w:szCs w:val="18"/>
          <w:lang w:val="sr-Cyrl-CS"/>
        </w:rPr>
        <w:t>11</w:t>
      </w:r>
      <w:r w:rsidRPr="0066522F">
        <w:rPr>
          <w:rFonts w:ascii="Tahoma" w:hAnsi="Tahoma" w:cs="Tahoma"/>
          <w:sz w:val="18"/>
          <w:szCs w:val="18"/>
          <w:lang w:val="hr-HR"/>
        </w:rPr>
        <w:t>.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66522F">
        <w:rPr>
          <w:rFonts w:ascii="Tahoma" w:hAnsi="Tahoma" w:cs="Tahoma"/>
          <w:sz w:val="18"/>
          <w:szCs w:val="18"/>
        </w:rPr>
        <w:t>j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2,5%, </w:t>
      </w:r>
      <w:r w:rsidRPr="0066522F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66522F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66522F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66522F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 0,5% док су цијене подручја </w:t>
      </w:r>
      <w:r w:rsidRPr="0066522F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66522F">
        <w:rPr>
          <w:rFonts w:ascii="Tahoma" w:hAnsi="Tahoma" w:cs="Tahoma"/>
          <w:bCs/>
          <w:sz w:val="18"/>
          <w:szCs w:val="18"/>
          <w:lang w:val="sr-Cyrl-CS"/>
        </w:rPr>
        <w:t xml:space="preserve"> у просјеку ниже за 1,7%. 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66522F" w:rsidRDefault="00B32263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0267D1" w:rsidRPr="0066522F" w:rsidRDefault="000267D1" w:rsidP="000267D1">
      <w:pPr>
        <w:tabs>
          <w:tab w:val="left" w:pos="0"/>
          <w:tab w:val="left" w:pos="1100"/>
        </w:tabs>
        <w:jc w:val="both"/>
        <w:rPr>
          <w:lang w:val="sr-Cyrl-CS"/>
        </w:rPr>
      </w:pPr>
      <w:r w:rsidRPr="0066522F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66522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66522F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66522F">
        <w:rPr>
          <w:rFonts w:ascii="Tahoma" w:hAnsi="Tahoma" w:cs="Tahoma"/>
          <w:b/>
          <w:spacing w:val="-4"/>
          <w:sz w:val="28"/>
          <w:szCs w:val="28"/>
        </w:rPr>
        <w:t>IV</w:t>
      </w:r>
      <w:r w:rsidRPr="0066522F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66522F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Pr="0066522F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Pr="0066522F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Pr="0066522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Pr="0066522F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Pr="0066522F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654E7C" w:rsidRPr="0066522F" w:rsidRDefault="00654E7C" w:rsidP="00654E7C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66522F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66522F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66522F">
        <w:rPr>
          <w:rFonts w:ascii="Tahoma" w:hAnsi="Tahoma" w:cs="Tahoma"/>
          <w:sz w:val="24"/>
          <w:szCs w:val="24"/>
        </w:rPr>
        <w:t>I</w:t>
      </w:r>
      <w:r w:rsidRPr="0066522F">
        <w:rPr>
          <w:rFonts w:ascii="Tahoma" w:hAnsi="Tahoma" w:cs="Tahoma"/>
          <w:sz w:val="24"/>
          <w:szCs w:val="24"/>
          <w:lang w:val="sr-Cyrl-CS"/>
        </w:rPr>
        <w:t>V</w:t>
      </w:r>
      <w:r w:rsidRPr="0066522F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66522F">
        <w:rPr>
          <w:rFonts w:ascii="Tahoma" w:hAnsi="Tahoma" w:cs="Tahoma"/>
          <w:sz w:val="24"/>
          <w:szCs w:val="24"/>
          <w:lang w:val="sr-Cyrl-CS"/>
        </w:rPr>
        <w:t>12</w:t>
      </w:r>
      <w:r w:rsidRPr="0066522F">
        <w:rPr>
          <w:rFonts w:ascii="Tahoma" w:hAnsi="Tahoma" w:cs="Tahoma"/>
          <w:sz w:val="24"/>
          <w:szCs w:val="24"/>
          <w:lang w:val="sr-Latn-BA"/>
        </w:rPr>
        <w:t>/</w:t>
      </w:r>
      <w:r w:rsidRPr="0066522F">
        <w:rPr>
          <w:rFonts w:ascii="Tahoma" w:hAnsi="Tahoma" w:cs="Tahoma"/>
          <w:bCs/>
          <w:sz w:val="24"/>
          <w:szCs w:val="24"/>
        </w:rPr>
        <w:sym w:font="Symbol" w:char="F0C6"/>
      </w:r>
      <w:r w:rsidRPr="0066522F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66522F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66522F">
        <w:rPr>
          <w:rFonts w:ascii="Tahoma" w:hAnsi="Tahoma" w:cs="Tahoma"/>
          <w:bCs/>
          <w:sz w:val="24"/>
          <w:szCs w:val="24"/>
          <w:lang w:val="hr-HR"/>
        </w:rPr>
        <w:t>)</w:t>
      </w:r>
      <w:r w:rsidRPr="0066522F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66522F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66522F">
        <w:rPr>
          <w:rFonts w:ascii="Tahoma" w:hAnsi="Tahoma" w:cs="Tahoma"/>
          <w:sz w:val="24"/>
          <w:szCs w:val="24"/>
        </w:rPr>
        <w:t>1</w:t>
      </w:r>
      <w:r w:rsidRPr="0066522F">
        <w:rPr>
          <w:rFonts w:ascii="Tahoma" w:hAnsi="Tahoma" w:cs="Tahoma"/>
          <w:sz w:val="24"/>
          <w:szCs w:val="24"/>
          <w:lang w:val="sr-Cyrl-BA"/>
        </w:rPr>
        <w:t>,</w:t>
      </w:r>
      <w:r w:rsidRPr="0066522F">
        <w:rPr>
          <w:rFonts w:ascii="Tahoma" w:hAnsi="Tahoma" w:cs="Tahoma"/>
          <w:sz w:val="24"/>
          <w:szCs w:val="24"/>
        </w:rPr>
        <w:t>2</w:t>
      </w:r>
      <w:r w:rsidRPr="0066522F">
        <w:rPr>
          <w:rFonts w:ascii="Tahoma" w:hAnsi="Tahoma" w:cs="Tahoma"/>
          <w:sz w:val="24"/>
          <w:szCs w:val="24"/>
          <w:lang w:val="ru-RU"/>
        </w:rPr>
        <w:t>%</w:t>
      </w:r>
    </w:p>
    <w:p w:rsidR="00B32263" w:rsidRPr="0066522F" w:rsidRDefault="00B32263" w:rsidP="00B32263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0267D1" w:rsidRPr="0066522F" w:rsidRDefault="000267D1" w:rsidP="000267D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66522F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66522F">
        <w:rPr>
          <w:rFonts w:ascii="Tahoma" w:hAnsi="Tahoma" w:cs="Tahoma"/>
          <w:sz w:val="18"/>
          <w:szCs w:val="18"/>
          <w:lang w:val="sr-Cyrl-CS"/>
        </w:rPr>
        <w:t>априлу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претходни мјесец текуће године мања је за 5,2% и у односу на просјечну мјесечну производњу из 2011. године </w:t>
      </w:r>
      <w:r w:rsidRPr="0066522F">
        <w:rPr>
          <w:rFonts w:ascii="Tahoma" w:hAnsi="Tahoma" w:cs="Tahoma"/>
          <w:sz w:val="18"/>
          <w:szCs w:val="18"/>
          <w:lang w:val="sr-Cyrl-BA"/>
        </w:rPr>
        <w:t>мања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је за 8,1%, док је у односу на исти мјесец прошле године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већа </w:t>
      </w:r>
      <w:r w:rsidRPr="0066522F">
        <w:rPr>
          <w:rFonts w:ascii="Tahoma" w:hAnsi="Tahoma" w:cs="Tahoma"/>
          <w:sz w:val="18"/>
          <w:szCs w:val="18"/>
          <w:lang w:val="ru-RU"/>
        </w:rPr>
        <w:t>за 0,8%.</w:t>
      </w:r>
    </w:p>
    <w:p w:rsidR="000267D1" w:rsidRPr="0066522F" w:rsidRDefault="000267D1" w:rsidP="000267D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0267D1" w:rsidRPr="0066522F" w:rsidRDefault="000267D1" w:rsidP="000267D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април 2012. године у односу на исти период </w:t>
      </w:r>
      <w:r w:rsidRPr="0066522F">
        <w:rPr>
          <w:rFonts w:ascii="Tahoma" w:hAnsi="Tahoma" w:cs="Tahoma"/>
          <w:sz w:val="18"/>
          <w:szCs w:val="18"/>
          <w:lang w:val="ru-RU"/>
        </w:rPr>
        <w:t>прошле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године мања је за 3,7%. У истом периоду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522F">
        <w:rPr>
          <w:rFonts w:ascii="Tahoma" w:hAnsi="Tahoma" w:cs="Tahoma"/>
          <w:sz w:val="18"/>
          <w:szCs w:val="18"/>
          <w:lang w:val="ru-RU"/>
        </w:rPr>
        <w:t>подручју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забиљежена је негативна стопа промјене од 6,0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66522F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66522F">
        <w:rPr>
          <w:rFonts w:ascii="Tahoma" w:hAnsi="Tahoma" w:cs="Tahoma"/>
          <w:sz w:val="18"/>
          <w:szCs w:val="18"/>
          <w:lang w:val="sr-Cyrl-BA"/>
        </w:rPr>
        <w:t>стопа промјене од 7</w:t>
      </w:r>
      <w:r w:rsidRPr="0066522F">
        <w:rPr>
          <w:rFonts w:ascii="Tahoma" w:hAnsi="Tahoma" w:cs="Tahoma"/>
          <w:sz w:val="18"/>
          <w:szCs w:val="18"/>
          <w:lang w:val="ru-RU"/>
        </w:rPr>
        <w:t>,4%, док је</w:t>
      </w:r>
      <w:r w:rsidRPr="0066522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66522F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забиљежена позитивна стопа промјене </w:t>
      </w:r>
      <w:r w:rsidRPr="0066522F">
        <w:rPr>
          <w:rFonts w:ascii="Tahoma" w:hAnsi="Tahoma" w:cs="Tahoma"/>
          <w:sz w:val="18"/>
          <w:szCs w:val="18"/>
          <w:lang w:val="ru-RU"/>
        </w:rPr>
        <w:t>од 1,6%</w:t>
      </w:r>
    </w:p>
    <w:p w:rsidR="000267D1" w:rsidRPr="0066522F" w:rsidRDefault="000267D1" w:rsidP="000267D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0267D1" w:rsidRPr="0066522F" w:rsidRDefault="000267D1" w:rsidP="000267D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јануар–април 2012. године у односу на исти период прошле године забиљежена је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66522F">
        <w:rPr>
          <w:rFonts w:ascii="Tahoma" w:hAnsi="Tahoma" w:cs="Tahoma"/>
          <w:sz w:val="18"/>
          <w:szCs w:val="18"/>
          <w:lang w:val="sr-Cyrl-BA"/>
        </w:rPr>
        <w:t>стопа промјене капиталних производа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од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2,8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66522F">
        <w:rPr>
          <w:rFonts w:ascii="Tahoma" w:hAnsi="Tahoma" w:cs="Tahoma"/>
          <w:sz w:val="18"/>
          <w:szCs w:val="18"/>
          <w:lang w:val="ru-RU"/>
        </w:rPr>
        <w:t>нетрајних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од 8,5% и </w:t>
      </w:r>
      <w:r w:rsidRPr="0066522F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од 9,3%,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док је код 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трајних производа забиљежена позитивна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66522F">
        <w:rPr>
          <w:rFonts w:ascii="Tahoma" w:hAnsi="Tahoma" w:cs="Tahoma"/>
          <w:sz w:val="18"/>
          <w:szCs w:val="18"/>
          <w:lang w:val="ru-RU"/>
        </w:rPr>
        <w:t>од 2</w:t>
      </w:r>
      <w:r w:rsidRPr="0066522F">
        <w:rPr>
          <w:rFonts w:ascii="Tahoma" w:hAnsi="Tahoma" w:cs="Tahoma"/>
          <w:sz w:val="18"/>
          <w:szCs w:val="18"/>
          <w:lang w:val="sr-Cyrl-CS"/>
        </w:rPr>
        <w:t>,4</w:t>
      </w:r>
      <w:r w:rsidR="000A4A3A">
        <w:rPr>
          <w:rFonts w:ascii="Tahoma" w:hAnsi="Tahoma" w:cs="Tahoma"/>
          <w:sz w:val="18"/>
          <w:szCs w:val="18"/>
          <w:lang w:val="ru-RU"/>
        </w:rPr>
        <w:t>% и</w:t>
      </w:r>
      <w:r w:rsidR="000A4A3A">
        <w:rPr>
          <w:rFonts w:ascii="Tahoma" w:hAnsi="Tahoma" w:cs="Tahoma"/>
          <w:sz w:val="18"/>
          <w:szCs w:val="18"/>
          <w:lang w:val="sr-Cyrl-CS"/>
        </w:rPr>
        <w:t xml:space="preserve"> код </w:t>
      </w:r>
      <w:r w:rsidRPr="0066522F">
        <w:rPr>
          <w:rFonts w:ascii="Tahoma" w:hAnsi="Tahoma" w:cs="Tahoma"/>
          <w:sz w:val="18"/>
          <w:szCs w:val="18"/>
          <w:lang w:val="ru-RU"/>
        </w:rPr>
        <w:t>енергије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ru-RU"/>
        </w:rPr>
        <w:t>од 0,6%.</w:t>
      </w:r>
    </w:p>
    <w:p w:rsidR="00B32263" w:rsidRPr="0066522F" w:rsidRDefault="00B32263" w:rsidP="00B3226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66522F" w:rsidRDefault="00B32263" w:rsidP="00B32263">
      <w:pPr>
        <w:jc w:val="both"/>
        <w:rPr>
          <w:rFonts w:ascii="Tahoma" w:hAnsi="Tahoma" w:cs="Tahoma"/>
          <w:b/>
          <w:sz w:val="18"/>
          <w:szCs w:val="18"/>
        </w:rPr>
      </w:pPr>
    </w:p>
    <w:p w:rsidR="00654E7C" w:rsidRPr="0066522F" w:rsidRDefault="00654E7C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66522F">
        <w:rPr>
          <w:rFonts w:ascii="Tahoma" w:hAnsi="Tahoma" w:cs="Tahoma"/>
          <w:sz w:val="18"/>
          <w:szCs w:val="18"/>
          <w:lang w:val="sr-Cyrl-CS"/>
        </w:rPr>
        <w:t>априлу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522F">
        <w:rPr>
          <w:rFonts w:ascii="Tahoma" w:hAnsi="Tahoma" w:cs="Tahoma"/>
          <w:sz w:val="18"/>
          <w:szCs w:val="18"/>
          <w:lang w:val="ru-RU"/>
        </w:rPr>
        <w:t>односу на март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године већи је за 1,1%.</w:t>
      </w:r>
    </w:p>
    <w:p w:rsidR="00654E7C" w:rsidRPr="0066522F" w:rsidRDefault="00654E7C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654E7C" w:rsidRPr="0066522F" w:rsidRDefault="00654E7C" w:rsidP="00654E7C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66522F">
        <w:rPr>
          <w:rFonts w:ascii="Tahoma" w:hAnsi="Tahoma" w:cs="Tahoma"/>
          <w:sz w:val="18"/>
          <w:szCs w:val="18"/>
          <w:lang w:val="ru-RU"/>
        </w:rPr>
        <w:t>периоду јануар - април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2,3%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66522F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забиљежен пад броја запослених од 0,7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66522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пад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од 0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,9% и у подручју </w:t>
      </w:r>
      <w:r w:rsidRPr="0066522F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пад од 2,7%. </w:t>
      </w:r>
    </w:p>
    <w:p w:rsidR="00B32263" w:rsidRPr="0066522F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66522F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66522F" w:rsidRDefault="00B32263" w:rsidP="00B32263">
      <w:pPr>
        <w:rPr>
          <w:rFonts w:ascii="Tahoma" w:hAnsi="Tahoma" w:cs="Tahoma"/>
          <w:b/>
          <w:sz w:val="28"/>
          <w:szCs w:val="28"/>
        </w:rPr>
      </w:pPr>
    </w:p>
    <w:p w:rsidR="00B32263" w:rsidRPr="0066522F" w:rsidRDefault="00B32263">
      <w:pPr>
        <w:rPr>
          <w:rFonts w:ascii="Tahoma" w:hAnsi="Tahoma" w:cs="Tahoma"/>
          <w:b/>
          <w:sz w:val="28"/>
          <w:szCs w:val="28"/>
          <w:lang w:val="bs-Cyrl-BA"/>
        </w:rPr>
      </w:pPr>
      <w:r w:rsidRPr="0066522F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66522F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66522F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66522F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66522F">
        <w:rPr>
          <w:rFonts w:ascii="Tahoma" w:hAnsi="Tahoma" w:cs="Tahoma"/>
          <w:b/>
          <w:sz w:val="28"/>
          <w:szCs w:val="28"/>
        </w:rPr>
        <w:t>I</w:t>
      </w:r>
      <w:r w:rsidRPr="0066522F">
        <w:rPr>
          <w:rFonts w:ascii="Tahoma" w:hAnsi="Tahoma" w:cs="Tahoma"/>
          <w:b/>
          <w:sz w:val="28"/>
          <w:szCs w:val="28"/>
          <w:lang w:val="ru-RU"/>
        </w:rPr>
        <w:t>–</w:t>
      </w:r>
      <w:r w:rsidRPr="0066522F">
        <w:rPr>
          <w:rFonts w:ascii="Tahoma" w:hAnsi="Tahoma" w:cs="Tahoma"/>
          <w:b/>
          <w:sz w:val="28"/>
          <w:szCs w:val="28"/>
        </w:rPr>
        <w:t xml:space="preserve">IV </w:t>
      </w:r>
      <w:r w:rsidRPr="0066522F">
        <w:rPr>
          <w:rFonts w:ascii="Tahoma" w:hAnsi="Tahoma" w:cs="Tahoma"/>
          <w:b/>
          <w:sz w:val="28"/>
          <w:szCs w:val="28"/>
          <w:lang w:val="ru-RU"/>
        </w:rPr>
        <w:t>201</w:t>
      </w:r>
      <w:r w:rsidRPr="0066522F">
        <w:rPr>
          <w:rFonts w:ascii="Tahoma" w:hAnsi="Tahoma" w:cs="Tahoma"/>
          <w:b/>
          <w:sz w:val="28"/>
          <w:szCs w:val="28"/>
        </w:rPr>
        <w:t>2</w:t>
      </w:r>
      <w:r w:rsidRPr="0066522F">
        <w:rPr>
          <w:rFonts w:ascii="Tahoma" w:hAnsi="Tahoma" w:cs="Tahoma"/>
          <w:b/>
          <w:sz w:val="28"/>
          <w:szCs w:val="28"/>
          <w:lang w:val="ru-RU"/>
        </w:rPr>
        <w:t>.</w:t>
      </w:r>
      <w:r w:rsidRPr="0066522F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6522F">
        <w:rPr>
          <w:rFonts w:ascii="Tahoma" w:hAnsi="Tahoma" w:cs="Tahoma"/>
          <w:b/>
          <w:sz w:val="28"/>
          <w:szCs w:val="28"/>
          <w:lang w:val="hr-HR"/>
        </w:rPr>
        <w:t>53</w:t>
      </w:r>
      <w:r w:rsidRPr="0066522F">
        <w:rPr>
          <w:rFonts w:ascii="Tahoma" w:hAnsi="Tahoma" w:cs="Tahoma"/>
          <w:b/>
          <w:sz w:val="28"/>
          <w:szCs w:val="28"/>
          <w:lang w:val="ru-RU"/>
        </w:rPr>
        <w:t>,</w:t>
      </w:r>
      <w:r w:rsidRPr="0066522F">
        <w:rPr>
          <w:rFonts w:ascii="Tahoma" w:hAnsi="Tahoma" w:cs="Tahoma"/>
          <w:b/>
          <w:sz w:val="28"/>
          <w:szCs w:val="28"/>
        </w:rPr>
        <w:t>5</w:t>
      </w:r>
      <w:r w:rsidRPr="0066522F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66522F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66522F">
        <w:rPr>
          <w:rFonts w:ascii="Tahoma" w:hAnsi="Tahoma" w:cs="Tahoma"/>
          <w:sz w:val="24"/>
          <w:szCs w:val="24"/>
          <w:lang w:val="hr-HR"/>
        </w:rPr>
        <w:t>(I-IV 2012/I-IV 2011</w:t>
      </w:r>
      <w:r w:rsidRPr="0066522F">
        <w:rPr>
          <w:rFonts w:ascii="Tahoma" w:hAnsi="Tahoma" w:cs="Tahoma"/>
          <w:sz w:val="24"/>
          <w:szCs w:val="24"/>
          <w:lang w:val="sr-Cyrl-CS"/>
        </w:rPr>
        <w:t>.</w:t>
      </w:r>
      <w:r w:rsidRPr="0066522F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66522F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66522F">
        <w:rPr>
          <w:rFonts w:ascii="Tahoma" w:hAnsi="Tahoma" w:cs="Tahoma"/>
          <w:sz w:val="24"/>
          <w:szCs w:val="24"/>
        </w:rPr>
        <w:t>6</w:t>
      </w:r>
      <w:r w:rsidRPr="0066522F">
        <w:rPr>
          <w:rFonts w:ascii="Tahoma" w:hAnsi="Tahoma" w:cs="Tahoma"/>
          <w:sz w:val="24"/>
          <w:szCs w:val="24"/>
          <w:lang w:val="ru-RU"/>
        </w:rPr>
        <w:t>,9%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>У мјесецу априлу 2012. године, остварен је извоз у вриједности 205 милиона КМ и увоз у вриједности од 372 милиона КМ.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66522F">
        <w:rPr>
          <w:rFonts w:ascii="Tahoma" w:hAnsi="Tahoma" w:cs="Tahoma"/>
          <w:sz w:val="18"/>
          <w:szCs w:val="18"/>
          <w:lang w:val="bs-Cyrl-BA"/>
        </w:rPr>
        <w:t>е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66522F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априлу ове године, проценат покривености увоза извозом износио је 55,0%. 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ru-RU"/>
        </w:rPr>
        <w:t>У периоду јануар – април 2012. године остварен је извоз у вриједности од 739 милиона КМ, што је за 6,9% мање у односу на исти период претходне године. Увоз је, у истом периоду, износио милијарду и 380 милиона КМ, што је за 4,8% више у односу на исти период претходне године.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прва четири мјесеца текуће године износио је 53,5%, док је спољнотрговински робни дефицит износио 641 милиона КМ.</w:t>
      </w:r>
    </w:p>
    <w:p w:rsidR="00A27956" w:rsidRPr="0066522F" w:rsidRDefault="00A27956" w:rsidP="00A27956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27956" w:rsidRPr="0066522F" w:rsidRDefault="00A27956" w:rsidP="00A27956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66522F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66522F">
        <w:rPr>
          <w:rFonts w:ascii="Tahoma" w:hAnsi="Tahoma" w:cs="Tahoma"/>
          <w:szCs w:val="18"/>
        </w:rPr>
        <w:t>e</w:t>
      </w:r>
      <w:r w:rsidRPr="0066522F">
        <w:rPr>
          <w:rFonts w:ascii="Tahoma" w:hAnsi="Tahoma" w:cs="Tahoma"/>
          <w:szCs w:val="18"/>
          <w:lang w:val="ru-RU"/>
        </w:rPr>
        <w:t xml:space="preserve"> Српск</w:t>
      </w:r>
      <w:r w:rsidRPr="0066522F">
        <w:rPr>
          <w:rFonts w:ascii="Tahoma" w:hAnsi="Tahoma" w:cs="Tahoma"/>
          <w:szCs w:val="18"/>
        </w:rPr>
        <w:t>e</w:t>
      </w:r>
      <w:r w:rsidRPr="0066522F">
        <w:rPr>
          <w:rFonts w:ascii="Tahoma" w:hAnsi="Tahoma" w:cs="Tahoma"/>
          <w:szCs w:val="18"/>
          <w:lang w:val="ru-RU"/>
        </w:rPr>
        <w:t xml:space="preserve"> са иностранством, у периоду јануар - април </w:t>
      </w:r>
      <w:r w:rsidRPr="0066522F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120 милиона КМ, односно 16,3%</w:t>
      </w:r>
      <w:r w:rsidRPr="0066522F">
        <w:rPr>
          <w:rFonts w:ascii="Tahoma" w:hAnsi="Tahoma" w:cs="Tahoma"/>
          <w:szCs w:val="18"/>
          <w:lang w:val="ru-RU"/>
        </w:rPr>
        <w:t xml:space="preserve">, </w:t>
      </w:r>
      <w:r w:rsidRPr="0066522F">
        <w:rPr>
          <w:rFonts w:ascii="Tahoma" w:hAnsi="Tahoma" w:cs="Tahoma"/>
          <w:szCs w:val="18"/>
          <w:lang w:val="sr-Cyrl-CS"/>
        </w:rPr>
        <w:t>те у Србију, у вриједности од 119 милиона КМ, односно 16,1% од укупног оствареног извоза.</w:t>
      </w:r>
    </w:p>
    <w:p w:rsidR="00A27956" w:rsidRPr="0066522F" w:rsidRDefault="00A27956" w:rsidP="00A27956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66522F">
        <w:rPr>
          <w:rFonts w:ascii="Tahoma" w:hAnsi="Tahoma" w:cs="Tahoma"/>
          <w:sz w:val="18"/>
          <w:szCs w:val="18"/>
          <w:lang w:val="sr-Cyrl-BA"/>
        </w:rPr>
        <w:t>н</w:t>
      </w:r>
      <w:r w:rsidRPr="0066522F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319 милиона КМ, односно 23,1% и из Србије, у вриједности од 234 милиона КМ, односно 17,0% од укупно оствареног увоза.</w:t>
      </w: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јануар  - април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66522F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66522F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66522F">
        <w:rPr>
          <w:rFonts w:ascii="Tahoma" w:hAnsi="Tahoma" w:cs="Tahoma"/>
          <w:sz w:val="18"/>
          <w:szCs w:val="18"/>
          <w:lang w:val="sr-Cyrl-CS"/>
        </w:rPr>
        <w:t>)</w:t>
      </w:r>
      <w:r w:rsidRPr="0066522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111 милиона КМ, што износи 15,0% од укупног извоза, док највеће учешће у увозу остварује </w:t>
      </w:r>
      <w:r w:rsidRPr="0066522F">
        <w:rPr>
          <w:rFonts w:ascii="Tahoma" w:hAnsi="Tahoma" w:cs="Tahoma"/>
          <w:sz w:val="18"/>
          <w:szCs w:val="18"/>
          <w:lang w:val="sr-Cyrl-BA"/>
        </w:rPr>
        <w:t>н</w:t>
      </w:r>
      <w:r w:rsidRPr="0066522F">
        <w:rPr>
          <w:rFonts w:ascii="Tahoma" w:hAnsi="Tahoma" w:cs="Tahoma"/>
          <w:sz w:val="18"/>
          <w:szCs w:val="18"/>
          <w:lang w:val="ru-RU"/>
        </w:rPr>
        <w:t>афт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66522F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66522F">
        <w:rPr>
          <w:rFonts w:ascii="Tahoma" w:hAnsi="Tahoma" w:cs="Tahoma"/>
          <w:sz w:val="18"/>
          <w:szCs w:val="18"/>
          <w:lang w:val="ru-RU"/>
        </w:rPr>
        <w:t>сиров</w:t>
      </w:r>
      <w:r w:rsidRPr="0066522F">
        <w:rPr>
          <w:rFonts w:ascii="Tahoma" w:hAnsi="Tahoma" w:cs="Tahoma"/>
          <w:sz w:val="18"/>
          <w:szCs w:val="18"/>
          <w:lang w:val="sr-Cyrl-BA"/>
        </w:rPr>
        <w:t>а), са укупном вриједношћу од 364 милиона КМ, што износи 26,4% од укупног увоза.</w:t>
      </w:r>
    </w:p>
    <w:p w:rsidR="00B97590" w:rsidRPr="0066522F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66522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66522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66522F" w:rsidRDefault="00A27956" w:rsidP="00B97590">
      <w:pPr>
        <w:jc w:val="center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75645" cy="2743200"/>
            <wp:effectExtent l="1905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E5FB2" w:rsidRPr="003E5FB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85.35pt;margin-top:213.85pt;width:188.35pt;height:22.2pt;z-index:251657216;mso-position-horizontal-relative:text;mso-position-vertical-relative:text;mso-width-relative:margin;mso-height-relative:margin" stroked="f">
            <v:textbox style="mso-next-textbox:#_x0000_s1061">
              <w:txbxContent>
                <w:p w:rsidR="00654E7C" w:rsidRPr="0095396E" w:rsidRDefault="00654E7C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3E5FB2" w:rsidRPr="003E5FB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654E7C" w:rsidRPr="00860DF8" w:rsidRDefault="00654E7C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66522F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66522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66522F" w:rsidRDefault="00B97590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66522F">
        <w:rPr>
          <w:rFonts w:ascii="Tahoma" w:hAnsi="Tahoma" w:cs="Tahoma"/>
          <w:sz w:val="18"/>
          <w:szCs w:val="18"/>
          <w:lang w:val="ru-RU"/>
        </w:rPr>
        <w:t xml:space="preserve">Графикон 2. </w:t>
      </w:r>
      <w:r w:rsidRPr="0066522F">
        <w:rPr>
          <w:rFonts w:ascii="Tahoma" w:hAnsi="Tahoma" w:cs="Tahoma"/>
          <w:iCs/>
          <w:sz w:val="18"/>
          <w:szCs w:val="18"/>
          <w:lang w:val="sr-Cyrl-CS"/>
        </w:rPr>
        <w:t>Из</w:t>
      </w:r>
      <w:r w:rsidRPr="0066522F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Pr="0066522F">
        <w:rPr>
          <w:rFonts w:ascii="Tahoma" w:hAnsi="Tahoma" w:cs="Tahoma"/>
          <w:iCs/>
          <w:sz w:val="18"/>
          <w:szCs w:val="18"/>
          <w:lang w:val="sr-Cyrl-CS"/>
        </w:rPr>
        <w:t>у</w:t>
      </w:r>
      <w:r w:rsidRPr="0066522F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Pr="0066522F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Pr="0066522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Pr="0066522F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66522F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66522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372FAD" w:rsidRPr="0066522F" w:rsidRDefault="00372FAD">
      <w:pPr>
        <w:rPr>
          <w:rFonts w:ascii="Tahoma" w:hAnsi="Tahoma" w:cs="Tahoma"/>
          <w:b/>
          <w:sz w:val="28"/>
          <w:szCs w:val="28"/>
        </w:rPr>
      </w:pPr>
      <w:r w:rsidRPr="0066522F">
        <w:rPr>
          <w:rFonts w:ascii="Tahoma" w:hAnsi="Tahoma" w:cs="Tahoma"/>
          <w:b/>
          <w:sz w:val="28"/>
          <w:szCs w:val="28"/>
        </w:rPr>
        <w:br w:type="page"/>
      </w:r>
    </w:p>
    <w:p w:rsidR="00A27956" w:rsidRPr="0066522F" w:rsidRDefault="00372FAD" w:rsidP="00A27956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66522F">
        <w:rPr>
          <w:rFonts w:ascii="Tahoma" w:hAnsi="Tahoma" w:cs="Tahoma"/>
          <w:b/>
          <w:sz w:val="28"/>
          <w:szCs w:val="28"/>
        </w:rPr>
        <w:t>Б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рој живорођених м</w:t>
      </w:r>
      <w:proofErr w:type="spellStart"/>
      <w:r w:rsidRPr="0066522F">
        <w:rPr>
          <w:rFonts w:ascii="Tahoma" w:hAnsi="Tahoma" w:cs="Tahoma"/>
          <w:b/>
          <w:sz w:val="28"/>
          <w:szCs w:val="28"/>
        </w:rPr>
        <w:t>ањи</w:t>
      </w:r>
      <w:proofErr w:type="spellEnd"/>
      <w:r w:rsidRPr="0066522F">
        <w:rPr>
          <w:rFonts w:ascii="Tahoma" w:hAnsi="Tahoma" w:cs="Tahoma"/>
          <w:b/>
          <w:sz w:val="28"/>
          <w:szCs w:val="28"/>
        </w:rPr>
        <w:t xml:space="preserve"> 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5</w:t>
      </w:r>
      <w:proofErr w:type="gramStart"/>
      <w:r w:rsidRPr="0066522F">
        <w:rPr>
          <w:rFonts w:ascii="Tahoma" w:hAnsi="Tahoma" w:cs="Tahoma"/>
          <w:b/>
          <w:sz w:val="28"/>
          <w:szCs w:val="28"/>
        </w:rPr>
        <w:t>,</w:t>
      </w:r>
      <w:r w:rsidRPr="0066522F">
        <w:rPr>
          <w:rFonts w:ascii="Tahoma" w:hAnsi="Tahoma" w:cs="Tahoma"/>
          <w:b/>
          <w:sz w:val="28"/>
          <w:szCs w:val="28"/>
          <w:lang w:val="sr-Cyrl-CS"/>
        </w:rPr>
        <w:t>8</w:t>
      </w:r>
      <w:proofErr w:type="gramEnd"/>
      <w:r w:rsidRPr="0066522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372FAD" w:rsidRPr="0066522F" w:rsidRDefault="00372FAD" w:rsidP="00372FAD">
      <w:pPr>
        <w:jc w:val="both"/>
        <w:rPr>
          <w:rFonts w:ascii="Tahoma" w:hAnsi="Tahoma" w:cs="Tahoma"/>
          <w:sz w:val="24"/>
          <w:szCs w:val="24"/>
        </w:rPr>
      </w:pPr>
      <w:r w:rsidRPr="0066522F">
        <w:rPr>
          <w:rFonts w:ascii="Tahoma" w:hAnsi="Tahoma" w:cs="Tahoma"/>
          <w:b/>
          <w:sz w:val="24"/>
          <w:szCs w:val="24"/>
          <w:lang w:val="sr-Cyrl-CS"/>
        </w:rPr>
        <w:t>Број умрлих у порасту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Укупан број живорођене д</w:t>
      </w:r>
      <w:r w:rsidRPr="0066522F">
        <w:rPr>
          <w:rFonts w:ascii="Tahoma" w:hAnsi="Tahoma" w:cs="Tahoma"/>
          <w:sz w:val="18"/>
          <w:szCs w:val="18"/>
        </w:rPr>
        <w:t>j</w:t>
      </w:r>
      <w:r w:rsidRPr="0066522F">
        <w:rPr>
          <w:rFonts w:ascii="Tahoma" w:hAnsi="Tahoma" w:cs="Tahoma"/>
          <w:sz w:val="18"/>
          <w:szCs w:val="18"/>
          <w:lang w:val="sr-Cyrl-CS"/>
        </w:rPr>
        <w:t>еце у Републици Српској у 2011. годин</w:t>
      </w:r>
      <w:r w:rsidRPr="0066522F">
        <w:rPr>
          <w:rFonts w:ascii="Tahoma" w:hAnsi="Tahoma" w:cs="Tahoma"/>
          <w:sz w:val="18"/>
          <w:szCs w:val="18"/>
        </w:rPr>
        <w:t>и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био је 9 5</w:t>
      </w:r>
      <w:r w:rsidRPr="0066522F">
        <w:rPr>
          <w:rFonts w:ascii="Tahoma" w:hAnsi="Tahoma" w:cs="Tahoma"/>
          <w:sz w:val="18"/>
          <w:szCs w:val="18"/>
        </w:rPr>
        <w:t xml:space="preserve">61. </w:t>
      </w:r>
      <w:r w:rsidRPr="0066522F">
        <w:rPr>
          <w:rFonts w:ascii="Tahoma" w:hAnsi="Tahoma" w:cs="Tahoma"/>
          <w:sz w:val="18"/>
          <w:szCs w:val="18"/>
          <w:lang w:val="sr-Cyrl-CS"/>
        </w:rPr>
        <w:t>Од 2002. године Република Српска биљежи константно смањење броја живорођене дјеце</w:t>
      </w:r>
      <w:r w:rsidRPr="0066522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6522F">
        <w:rPr>
          <w:rFonts w:ascii="Tahoma" w:hAnsi="Tahoma" w:cs="Tahoma"/>
          <w:sz w:val="18"/>
          <w:szCs w:val="18"/>
        </w:rPr>
        <w:t>па</w:t>
      </w:r>
      <w:proofErr w:type="spellEnd"/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у  просјеку сваке године Република Српска има 308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мањ</w:t>
      </w:r>
      <w:r w:rsidRPr="0066522F">
        <w:rPr>
          <w:rFonts w:ascii="Tahoma" w:hAnsi="Tahoma" w:cs="Tahoma"/>
          <w:sz w:val="18"/>
          <w:szCs w:val="18"/>
        </w:rPr>
        <w:t>е</w:t>
      </w:r>
      <w:r w:rsidRPr="0066522F">
        <w:rPr>
          <w:rFonts w:ascii="Tahoma" w:hAnsi="Tahoma" w:cs="Tahoma"/>
          <w:sz w:val="18"/>
          <w:szCs w:val="18"/>
          <w:lang w:val="sr-Cyrl-CS"/>
        </w:rPr>
        <w:t xml:space="preserve"> живорођене дјеце. 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Просјечна старост мајке при рођењу првог дјетета у Републици Српској била је 26,3 године, скоро пола године већа него у 2010. години.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У односу на претходну годину укупан број мртворођене дјеце биљежи пад од 29</w:t>
      </w:r>
      <w:r w:rsidRPr="0066522F">
        <w:rPr>
          <w:rFonts w:ascii="Tahoma" w:hAnsi="Tahoma" w:cs="Tahoma"/>
          <w:sz w:val="18"/>
          <w:szCs w:val="18"/>
        </w:rPr>
        <w:t>,</w:t>
      </w:r>
      <w:r w:rsidRPr="0066522F">
        <w:rPr>
          <w:rFonts w:ascii="Tahoma" w:hAnsi="Tahoma" w:cs="Tahoma"/>
          <w:sz w:val="18"/>
          <w:szCs w:val="18"/>
          <w:lang w:val="sr-Cyrl-CS"/>
        </w:rPr>
        <w:t>3%.</w:t>
      </w:r>
    </w:p>
    <w:p w:rsidR="00A27956" w:rsidRPr="0066522F" w:rsidRDefault="00A27956" w:rsidP="00A279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372FAD">
      <w:pPr>
        <w:rPr>
          <w:rFonts w:ascii="Tahoma" w:hAnsi="Tahoma" w:cs="Tahoma"/>
          <w:b/>
          <w:sz w:val="18"/>
          <w:szCs w:val="18"/>
          <w:lang w:val="sr-Cyrl-CS"/>
        </w:rPr>
      </w:pPr>
      <w:proofErr w:type="gramStart"/>
      <w:r w:rsidRPr="0066522F">
        <w:rPr>
          <w:rFonts w:ascii="Tahoma" w:hAnsi="Tahoma" w:cs="Tahoma"/>
          <w:sz w:val="18"/>
          <w:szCs w:val="18"/>
        </w:rPr>
        <w:t>У 2011.</w:t>
      </w:r>
      <w:proofErr w:type="gramEnd"/>
      <w:r w:rsidRPr="0066522F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66522F">
        <w:rPr>
          <w:rFonts w:ascii="Tahoma" w:hAnsi="Tahoma" w:cs="Tahoma"/>
          <w:sz w:val="18"/>
          <w:szCs w:val="18"/>
        </w:rPr>
        <w:t>години</w:t>
      </w:r>
      <w:proofErr w:type="spellEnd"/>
      <w:proofErr w:type="gramEnd"/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у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Републици Српској је умрло 13 658 лица, у односу на претходну годину умрло је 141 лице више.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Мушкарци данас живе за 5,8 година краће од жена.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Просјечна старост приликом умирања за мушкарце била је 69,7 година, а за жене 75,5 година.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Од укупног броја умрлих свако четврто лице умре испод 65 година старости.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Стопа умрле одојчади у Републици Српској за 2011. годину била је у оквиру просјека ЕУ-27.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и износила је 4</w:t>
      </w:r>
      <w:r w:rsidRPr="0066522F">
        <w:rPr>
          <w:rFonts w:ascii="Tahoma" w:hAnsi="Tahoma" w:cs="Tahoma"/>
          <w:sz w:val="18"/>
          <w:szCs w:val="18"/>
        </w:rPr>
        <w:t>,</w:t>
      </w:r>
      <w:r w:rsidRPr="0066522F">
        <w:rPr>
          <w:rFonts w:ascii="Tahoma" w:hAnsi="Tahoma" w:cs="Tahoma"/>
          <w:sz w:val="18"/>
          <w:szCs w:val="18"/>
          <w:lang w:val="sr-Cyrl-CS"/>
        </w:rPr>
        <w:t>5‰.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noProof/>
          <w:sz w:val="18"/>
          <w:szCs w:val="18"/>
          <w:lang w:eastAsia="sr-Latn-BA"/>
        </w:rPr>
      </w:pPr>
      <w:r w:rsidRPr="0066522F">
        <w:rPr>
          <w:rFonts w:ascii="Tahoma" w:hAnsi="Tahoma" w:cs="Tahoma"/>
          <w:noProof/>
          <w:sz w:val="18"/>
          <w:szCs w:val="18"/>
          <w:lang w:val="sr-Cyrl-CS" w:eastAsia="sr-Latn-BA"/>
        </w:rPr>
        <w:t>Водећи узрок смрти у Републицу Српској биле су болести крвотока. Од укупног броја умрлих око 53,7% умре од поменутих болести.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Од 2002. године природни прираштај Републике Српске је негативан, а највећа вриједност забиљежена је у 2011. години, 2,9‰. У односу на </w:t>
      </w:r>
      <w:proofErr w:type="spellStart"/>
      <w:r w:rsidR="002C170A" w:rsidRPr="0066522F">
        <w:rPr>
          <w:rFonts w:ascii="Tahoma" w:hAnsi="Tahoma" w:cs="Tahoma"/>
          <w:sz w:val="18"/>
          <w:szCs w:val="18"/>
        </w:rPr>
        <w:t>претходну</w:t>
      </w:r>
      <w:proofErr w:type="spellEnd"/>
      <w:r w:rsidRPr="0066522F">
        <w:rPr>
          <w:rFonts w:ascii="Tahoma" w:hAnsi="Tahoma" w:cs="Tahoma"/>
          <w:sz w:val="18"/>
          <w:szCs w:val="18"/>
          <w:lang w:val="sr-Cyrl-CS"/>
        </w:rPr>
        <w:t xml:space="preserve"> годину стопа природног прираштаја је опала за 0,5‰.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66522F">
        <w:rPr>
          <w:rFonts w:ascii="Tahoma" w:hAnsi="Tahoma" w:cs="Tahoma"/>
          <w:b/>
          <w:sz w:val="28"/>
          <w:szCs w:val="28"/>
          <w:lang w:val="sr-Cyrl-CS"/>
        </w:rPr>
        <w:t>Незнатан раст склопљених бракова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У односу на претходну годину, у 2011. години склопљено је 35 бракова више, а укупно је у 2011. години било 5 802 склопљена брака.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Просјечна старост при склапању првог брака за младожењу била је 29,5 година, а за невјесту  26,1 година.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Невјесте у Републици Српској раније склапају брак од младожења. У старосној групи 15−19 година, невјесте десет пута више склапају брак од младожења.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6522F">
        <w:rPr>
          <w:rFonts w:ascii="Tahoma" w:hAnsi="Tahoma" w:cs="Tahoma"/>
          <w:b/>
          <w:sz w:val="18"/>
          <w:szCs w:val="18"/>
          <w:lang w:val="sr-Cyrl-CS"/>
        </w:rPr>
        <w:t>Разведени бракови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У 2011. години у Републици Српској било је 886 разведених бракова. На 1 000 склопљених бракова било је 152,7 разведених бракова. Скоро сваки шести склопљени брак у Републици Српској био је разведен.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Просјечно трајање брака прије развода било је 11,4 година.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 xml:space="preserve">Просјечна старост мужа при разводу брака била је 40,6 година, а жене 36,6 година. </w:t>
      </w:r>
      <w:r w:rsidRPr="0066522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</w:p>
    <w:p w:rsidR="00A27956" w:rsidRPr="0066522F" w:rsidRDefault="00A27956" w:rsidP="00A27956">
      <w:pPr>
        <w:ind w:right="68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Cyrl-CS"/>
        </w:rPr>
        <w:t>Око 32% разведених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бракова</w:t>
      </w:r>
      <w:r w:rsidRPr="0066522F">
        <w:rPr>
          <w:rFonts w:ascii="Tahoma" w:hAnsi="Tahoma" w:cs="Tahoma"/>
          <w:sz w:val="18"/>
          <w:szCs w:val="18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CS"/>
        </w:rPr>
        <w:t>били су бракови без дјеце, око 22% се једним дјететом, а око 29% са два дјетета.</w:t>
      </w:r>
    </w:p>
    <w:p w:rsidR="005E0301" w:rsidRPr="0066522F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66522F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66522F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827A92" w:rsidRPr="0066522F" w:rsidRDefault="00827A92" w:rsidP="00827A92">
      <w:pPr>
        <w:rPr>
          <w:rFonts w:ascii="Tahoma" w:hAnsi="Tahoma" w:cs="Tahoma"/>
          <w:b/>
          <w:sz w:val="24"/>
          <w:szCs w:val="24"/>
          <w:lang w:val="sr-Latn-BA"/>
        </w:rPr>
      </w:pPr>
      <w:r w:rsidRPr="0066522F">
        <w:rPr>
          <w:rFonts w:ascii="Tahoma" w:hAnsi="Tahoma" w:cs="Tahoma"/>
          <w:b/>
          <w:sz w:val="24"/>
          <w:szCs w:val="24"/>
          <w:lang w:val="sr-Latn-BA"/>
        </w:rPr>
        <w:t xml:space="preserve">На високошколским установама студира </w:t>
      </w:r>
      <w:r w:rsidRPr="0066522F">
        <w:rPr>
          <w:rFonts w:ascii="Tahoma" w:hAnsi="Tahoma" w:cs="Tahoma"/>
          <w:b/>
          <w:sz w:val="24"/>
          <w:szCs w:val="24"/>
          <w:lang w:val="sr-Cyrl-BA"/>
        </w:rPr>
        <w:t xml:space="preserve">48 401 </w:t>
      </w:r>
      <w:r w:rsidRPr="0066522F">
        <w:rPr>
          <w:rFonts w:ascii="Tahoma" w:hAnsi="Tahoma" w:cs="Tahoma"/>
          <w:b/>
          <w:sz w:val="24"/>
          <w:szCs w:val="24"/>
          <w:lang w:val="sr-Latn-BA"/>
        </w:rPr>
        <w:t>студент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lang w:val="sr-Latn-BA"/>
        </w:rPr>
      </w:pPr>
      <w:r w:rsidRPr="0066522F">
        <w:rPr>
          <w:rFonts w:ascii="Tahoma" w:hAnsi="Tahoma" w:cs="Tahoma"/>
          <w:lang w:val="sr-Latn-BA"/>
        </w:rPr>
        <w:t xml:space="preserve">У школској 2011/2012. години на први циклус студија високог образовања уписано је </w:t>
      </w:r>
      <w:r w:rsidRPr="0066522F">
        <w:rPr>
          <w:rFonts w:ascii="Tahoma" w:hAnsi="Tahoma" w:cs="Tahoma"/>
          <w:b/>
          <w:lang w:val="sr-Latn-BA"/>
        </w:rPr>
        <w:t>46 567</w:t>
      </w:r>
      <w:r w:rsidRPr="0066522F">
        <w:rPr>
          <w:rFonts w:ascii="Tahoma" w:hAnsi="Tahoma" w:cs="Tahoma"/>
          <w:lang w:val="sr-Latn-BA"/>
        </w:rPr>
        <w:t xml:space="preserve"> студената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Иако је број уписаних студената у сталном порасту, у школској 2011/2012.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години биљежимо нешто мањи проценат повећања у односу на претходне године. У школској 2011/2012. години укупан број уписаних студената, у односу на претходну школску годину, већи је за 1,3%. 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Према „старом</w:t>
      </w:r>
      <w:r w:rsidRPr="0066522F">
        <w:rPr>
          <w:rFonts w:ascii="Tahoma" w:hAnsi="Tahoma" w:cs="Tahoma"/>
          <w:sz w:val="18"/>
          <w:szCs w:val="18"/>
          <w:lang w:val="sr-Cyrl-BA"/>
        </w:rPr>
        <w:t>“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програму образовања студира 12,7%</w:t>
      </w:r>
      <w:r w:rsidR="00765364" w:rsidRPr="0066522F">
        <w:rPr>
          <w:rFonts w:ascii="Tahoma" w:hAnsi="Tahoma" w:cs="Tahoma"/>
          <w:sz w:val="18"/>
          <w:szCs w:val="18"/>
          <w:lang w:val="sr-Cyrl-CS"/>
        </w:rPr>
        <w:t xml:space="preserve"> студената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, </w:t>
      </w:r>
      <w:r w:rsidRPr="0066522F">
        <w:rPr>
          <w:rFonts w:ascii="Tahoma" w:hAnsi="Tahoma" w:cs="Tahoma"/>
          <w:sz w:val="18"/>
          <w:szCs w:val="18"/>
          <w:lang w:val="sr-Cyrl-BA"/>
        </w:rPr>
        <w:t>док остали студирају према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програму прилагођеном Болоњској декларацији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. </w:t>
      </w:r>
      <w:r w:rsidRPr="0066522F">
        <w:rPr>
          <w:rFonts w:ascii="Tahoma" w:hAnsi="Tahoma" w:cs="Tahoma"/>
          <w:sz w:val="18"/>
          <w:szCs w:val="18"/>
          <w:lang w:val="sr-Latn-BA"/>
        </w:rPr>
        <w:t>Редовно студира 86,3% студената.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2011. години дипломирал</w:t>
      </w:r>
      <w:r w:rsidRPr="0066522F">
        <w:rPr>
          <w:rFonts w:ascii="Tahoma" w:hAnsi="Tahoma" w:cs="Tahoma"/>
          <w:sz w:val="18"/>
          <w:szCs w:val="18"/>
          <w:lang w:val="sr-Cyrl-BA"/>
        </w:rPr>
        <w:t>а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Cyrl-BA"/>
        </w:rPr>
        <w:t>су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7 </w:t>
      </w:r>
      <w:r w:rsidRPr="0066522F">
        <w:rPr>
          <w:rFonts w:ascii="Tahoma" w:hAnsi="Tahoma" w:cs="Tahoma"/>
          <w:sz w:val="18"/>
          <w:szCs w:val="18"/>
          <w:lang w:val="sr-Cyrl-BA"/>
        </w:rPr>
        <w:t>72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2 студента, што је за </w:t>
      </w:r>
      <w:r w:rsidRPr="0066522F">
        <w:rPr>
          <w:rFonts w:ascii="Tahoma" w:hAnsi="Tahoma" w:cs="Tahoma"/>
          <w:sz w:val="18"/>
          <w:szCs w:val="18"/>
          <w:lang w:val="sr-Cyrl-BA"/>
        </w:rPr>
        <w:t>5,4</w:t>
      </w:r>
      <w:r w:rsidRPr="0066522F">
        <w:rPr>
          <w:rFonts w:ascii="Tahoma" w:hAnsi="Tahoma" w:cs="Tahoma"/>
          <w:sz w:val="18"/>
          <w:szCs w:val="18"/>
          <w:lang w:val="sr-Latn-BA"/>
        </w:rPr>
        <w:t>% више у односу на 20</w:t>
      </w:r>
      <w:r w:rsidRPr="0066522F">
        <w:rPr>
          <w:rFonts w:ascii="Tahoma" w:hAnsi="Tahoma" w:cs="Tahoma"/>
          <w:sz w:val="18"/>
          <w:szCs w:val="18"/>
          <w:lang w:val="sr-Cyrl-BA"/>
        </w:rPr>
        <w:t>10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. годину. </w:t>
      </w:r>
      <w:r w:rsidRPr="0066522F">
        <w:rPr>
          <w:rFonts w:ascii="Tahoma" w:hAnsi="Tahoma" w:cs="Tahoma"/>
          <w:sz w:val="18"/>
          <w:szCs w:val="18"/>
          <w:lang w:val="sr-Cyrl-BA"/>
        </w:rPr>
        <w:t>Од укупног броја дипломираних студената 59,9% су студентице.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BA"/>
        </w:rPr>
      </w:pPr>
      <w:r w:rsidRPr="0066522F">
        <w:rPr>
          <w:rFonts w:ascii="Tahoma" w:hAnsi="Tahoma" w:cs="Tahoma"/>
          <w:sz w:val="18"/>
          <w:szCs w:val="18"/>
          <w:lang w:val="sr-Cyrl-BA"/>
        </w:rPr>
        <w:t>Скоро половина дип</w:t>
      </w:r>
      <w:r w:rsidR="0027310B" w:rsidRPr="0066522F">
        <w:rPr>
          <w:rFonts w:ascii="Tahoma" w:hAnsi="Tahoma" w:cs="Tahoma"/>
          <w:sz w:val="18"/>
          <w:szCs w:val="18"/>
          <w:lang w:val="sr-Latn-CS"/>
        </w:rPr>
        <w:t>л</w:t>
      </w:r>
      <w:r w:rsidRPr="0066522F">
        <w:rPr>
          <w:rFonts w:ascii="Tahoma" w:hAnsi="Tahoma" w:cs="Tahoma"/>
          <w:sz w:val="18"/>
          <w:szCs w:val="18"/>
          <w:lang w:val="sr-Cyrl-BA"/>
        </w:rPr>
        <w:t>омираних студената стекла је звање из образовне области Друштвене науке, пословање и право (49,8%).</w:t>
      </w:r>
    </w:p>
    <w:p w:rsidR="00827A92" w:rsidRPr="0066522F" w:rsidRDefault="00827A92" w:rsidP="00765364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Највећи број дипломираних студената је стар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ости </w:t>
      </w:r>
      <w:r w:rsidRPr="0066522F">
        <w:rPr>
          <w:rFonts w:ascii="Tahoma" w:hAnsi="Tahoma" w:cs="Tahoma"/>
          <w:sz w:val="18"/>
          <w:szCs w:val="18"/>
          <w:lang w:val="sr-Latn-BA"/>
        </w:rPr>
        <w:t>30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и више</w:t>
      </w:r>
      <w:r w:rsidRPr="0066522F">
        <w:rPr>
          <w:rFonts w:ascii="Tahoma" w:hAnsi="Tahoma" w:cs="Tahoma"/>
          <w:sz w:val="18"/>
          <w:szCs w:val="18"/>
          <w:lang w:val="sr-Latn-BA"/>
        </w:rPr>
        <w:t xml:space="preserve"> година, њих 3</w:t>
      </w:r>
      <w:r w:rsidRPr="0066522F">
        <w:rPr>
          <w:rFonts w:ascii="Tahoma" w:hAnsi="Tahoma" w:cs="Tahoma"/>
          <w:sz w:val="18"/>
          <w:szCs w:val="18"/>
          <w:lang w:val="sr-Cyrl-BA"/>
        </w:rPr>
        <w:t>5,5</w:t>
      </w:r>
      <w:r w:rsidRPr="0066522F">
        <w:rPr>
          <w:rFonts w:ascii="Tahoma" w:hAnsi="Tahoma" w:cs="Tahoma"/>
          <w:sz w:val="18"/>
          <w:szCs w:val="18"/>
          <w:lang w:val="sr-Latn-BA"/>
        </w:rPr>
        <w:t>%.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школској 2011/2012. години, на високошколским установама у Републици Српској, на постдипломскe магистарскe студијe уписано је 1 713 студената, а на специјалистичкe студијe 78 студената.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 xml:space="preserve">Према полној структури, на магистарскe студијe уписано је 48,3% жена, а на специјалистичкe студијe 71,8% жена. 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школској 2011/2012. години, на високошколским установама у Републици Српској евидентирано је укупно 43 докторанта и сви су пријавили докторат.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Према полној структури, 79,1% су мушкарци, а 20,9% су жене.</w:t>
      </w:r>
    </w:p>
    <w:p w:rsidR="00827A92" w:rsidRPr="0066522F" w:rsidRDefault="00827A92" w:rsidP="00765364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На јавним високошколским установама пријављено је 95,3% доктората, а на приватним високошколским установама пријављено је 4,7% доктората.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2011. години, на високошколским установама у Републици Српској, 183 кандидатa је стекло научни степен  магистра наука, а 44 кандидата  је стекло стручни степен специјалисте.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Према полној структури, 59,0% магистара су мушкaрци, а 41,0% су жене. Ако посматрамо полну структуру специјалиста, 20,45% су мушкарци, а 79,55% су жене.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Највећи број магистарских и специјалистичких радова је из области друштвених наука (37,9%), а најмањи из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области пољопривредних наука (2,2%).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2011. години, на високошколским установама у Републици Српској, научни степен доктора наука стекло је 49 кандидата.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Према полној структури, 53,1% доктора наука су мушкарци, а 46,9% су жене.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Cyrl-CS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Највећи број докторских дисертација је из области друштвених наука (40,8%), а најмањи из области инжeњерства и технологије (10,2%) и хуманистичких наука  (10,2%).</w:t>
      </w:r>
    </w:p>
    <w:p w:rsidR="00827A92" w:rsidRPr="0066522F" w:rsidRDefault="00827A92" w:rsidP="00827A92">
      <w:pPr>
        <w:spacing w:line="276" w:lineRule="auto"/>
        <w:rPr>
          <w:rFonts w:ascii="Tahoma" w:hAnsi="Tahoma" w:cs="Tahoma"/>
          <w:sz w:val="18"/>
          <w:szCs w:val="18"/>
          <w:lang w:val="sr-Latn-BA"/>
        </w:rPr>
      </w:pPr>
      <w:r w:rsidRPr="0066522F">
        <w:rPr>
          <w:rFonts w:ascii="Tahoma" w:hAnsi="Tahoma" w:cs="Tahoma"/>
          <w:sz w:val="18"/>
          <w:szCs w:val="18"/>
          <w:lang w:val="sr-Latn-BA"/>
        </w:rPr>
        <w:t>У школској 2011/2012. години на високошколским установама запослено је 2</w:t>
      </w:r>
      <w:r w:rsidRPr="0066522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522F">
        <w:rPr>
          <w:rFonts w:ascii="Tahoma" w:hAnsi="Tahoma" w:cs="Tahoma"/>
          <w:sz w:val="18"/>
          <w:szCs w:val="18"/>
          <w:lang w:val="sr-Latn-BA"/>
        </w:rPr>
        <w:t>789 наставника и сарадника. Изражено еквивалентом пуне запослености укупан број наставника и сарадника је 2 173,7. Научно звање доктора наука има 51,1% наставника и сарадника, звање магистра наука 24,9%, специјалиста 3,4%, а  20,7% су лица са универзитетским образовањем.</w:t>
      </w:r>
    </w:p>
    <w:p w:rsidR="009F6652" w:rsidRPr="0066522F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66522F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522F">
        <w:rPr>
          <w:rFonts w:ascii="Tahoma" w:hAnsi="Tahoma" w:cs="Tahoma"/>
          <w:sz w:val="18"/>
          <w:szCs w:val="18"/>
        </w:rPr>
        <w:br w:type="page"/>
      </w:r>
    </w:p>
    <w:p w:rsidR="009F6652" w:rsidRPr="0066522F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66522F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66522F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66522F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66522F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66522F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Pr="0066522F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66522F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66522F" w:rsidRDefault="003E5FB2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66522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66522F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66522F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66522F" w:rsidRDefault="003E5FB2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66522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66522F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66522F" w:rsidRDefault="003E5FB2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66522F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66522F" w:rsidRDefault="003E5FB2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66522F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66522F" w:rsidRDefault="003E5FB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66522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72FAD" w:rsidRPr="0066522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72FAD" w:rsidRPr="0066522F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>Статистика становништва</w:t>
            </w:r>
          </w:p>
          <w:p w:rsidR="00372FAD" w:rsidRPr="0066522F" w:rsidRDefault="00372FAD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Милка Михољчић</w:t>
            </w:r>
          </w:p>
          <w:p w:rsidR="00372FAD" w:rsidRPr="0066522F" w:rsidRDefault="003E5FB2" w:rsidP="00372FAD">
            <w:pPr>
              <w:rPr>
                <w:lang w:val="sr-Cyrl-CS"/>
              </w:rPr>
            </w:pPr>
            <w:hyperlink r:id="rId16" w:history="1"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milka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miholjcic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372FAD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372FAD" w:rsidRPr="0066522F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27310B" w:rsidRPr="0066522F" w:rsidTr="0027310B">
        <w:trPr>
          <w:trHeight w:hRule="exact" w:val="113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7310B" w:rsidRPr="0066522F" w:rsidRDefault="0027310B" w:rsidP="0027310B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66522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високог образовања </w:t>
            </w:r>
          </w:p>
          <w:p w:rsidR="0027310B" w:rsidRPr="0066522F" w:rsidRDefault="0027310B" w:rsidP="0027310B">
            <w:pPr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Долорес Пеулић</w:t>
            </w:r>
          </w:p>
          <w:p w:rsidR="0027310B" w:rsidRPr="0066522F" w:rsidRDefault="003E5FB2" w:rsidP="0027310B">
            <w:pPr>
              <w:rPr>
                <w:lang w:val="sr-Cyrl-CS"/>
              </w:rPr>
            </w:pPr>
            <w:hyperlink r:id="rId17" w:history="1"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dolores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peulic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27310B" w:rsidRPr="0066522F" w:rsidRDefault="0027310B" w:rsidP="0027310B">
            <w:pPr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66522F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Деан Арежина </w:t>
            </w:r>
          </w:p>
          <w:p w:rsidR="0027310B" w:rsidRPr="0066522F" w:rsidRDefault="003E5FB2" w:rsidP="0027310B">
            <w:pPr>
              <w:rPr>
                <w:lang w:val="sr-Cyrl-CS"/>
              </w:rPr>
            </w:pPr>
            <w:hyperlink r:id="rId18" w:history="1"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dean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arezina</w:t>
              </w:r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proofErr w:type="spellStart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proofErr w:type="spellEnd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proofErr w:type="spellEnd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27310B" w:rsidRPr="0066522F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27310B" w:rsidRPr="0066522F" w:rsidRDefault="0027310B" w:rsidP="0027310B">
            <w:pPr>
              <w:rPr>
                <w:rFonts w:ascii="Tahoma" w:hAnsi="Tahoma" w:cs="Tahoma"/>
                <w:sz w:val="16"/>
                <w:lang w:val="sr-Cyrl-CS"/>
              </w:rPr>
            </w:pPr>
          </w:p>
          <w:p w:rsidR="0027310B" w:rsidRPr="0066522F" w:rsidRDefault="0027310B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66522F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66522F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66522F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66522F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66522F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b/>
                <w:bCs/>
              </w:rPr>
              <w:sym w:font="Symbol" w:char="00C6"/>
            </w:r>
            <w:r w:rsidRPr="0066522F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66522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66522F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66522F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66522F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66522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66522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66522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205D07" w:rsidRPr="0066522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66522F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66522F" w:rsidRDefault="003E5FB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3E5FB2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66522F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66522F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66522F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66522F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66522F">
              <w:rPr>
                <w:rFonts w:ascii="Tahoma" w:hAnsi="Tahoma" w:cs="Tahoma"/>
                <w:sz w:val="16"/>
              </w:rPr>
              <w:t xml:space="preserve">е </w:t>
            </w:r>
            <w:r w:rsidR="00477CB9" w:rsidRPr="0066522F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66522F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66522F">
              <w:rPr>
                <w:rFonts w:ascii="Tahoma" w:hAnsi="Tahoma" w:cs="Tahoma"/>
                <w:sz w:val="16"/>
              </w:rPr>
              <w:t xml:space="preserve"> </w:t>
            </w:r>
            <w:r w:rsidRPr="0066522F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66522F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66522F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66522F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66522F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66522F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66522F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66522F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66522F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66522F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66522F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66522F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66522F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66522F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66522F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66522F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9" w:history="1"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66522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66522F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66522F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66522F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66522F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66522F" w:rsidRDefault="003E5FB2" w:rsidP="008C3261">
      <w:pPr>
        <w:rPr>
          <w:lang w:val="sr-Cyrl-BA"/>
        </w:rPr>
      </w:pPr>
      <w:r w:rsidRPr="003E5FB2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66522F" w:rsidRDefault="00657939" w:rsidP="008C3261">
      <w:pPr>
        <w:rPr>
          <w:lang w:val="sr-Cyrl-BA"/>
        </w:rPr>
      </w:pPr>
    </w:p>
    <w:sectPr w:rsidR="00657939" w:rsidRPr="0066522F" w:rsidSect="005D5311">
      <w:headerReference w:type="default" r:id="rId20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7C" w:rsidRDefault="00654E7C">
      <w:r>
        <w:separator/>
      </w:r>
    </w:p>
  </w:endnote>
  <w:endnote w:type="continuationSeparator" w:id="0">
    <w:p w:rsidR="00654E7C" w:rsidRDefault="0065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7C" w:rsidRDefault="00654E7C">
      <w:r>
        <w:separator/>
      </w:r>
    </w:p>
  </w:footnote>
  <w:footnote w:type="continuationSeparator" w:id="0">
    <w:p w:rsidR="00654E7C" w:rsidRDefault="0065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54E7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54E7C" w:rsidRDefault="00654E7C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654E7C" w:rsidRPr="00460A5B" w:rsidRDefault="00654E7C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54E7C" w:rsidRPr="005D5311" w:rsidRDefault="00654E7C" w:rsidP="00827A9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ма</w:t>
          </w:r>
          <w:r>
            <w:rPr>
              <w:rFonts w:ascii="Tahoma" w:hAnsi="Tahoma" w:cs="Tahoma"/>
              <w:color w:val="0070C0"/>
              <w:sz w:val="16"/>
            </w:rPr>
            <w:t>ј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 w:rsidR="00E0406B"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0A4A3A">
            <w:rPr>
              <w:rStyle w:val="PageNumber"/>
              <w:rFonts w:ascii="Tahoma" w:hAnsi="Tahoma"/>
              <w:b/>
              <w:noProof/>
              <w:color w:val="0070C0"/>
            </w:rPr>
            <w:t>4</w:t>
          </w:r>
          <w:r w:rsidR="003E5FB2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654E7C" w:rsidRDefault="003E5FB2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3E5FB2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hyperlink" Target="mailto:dean.arezina@rzs.rs.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yperlink" Target="mailto:dolores.peul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ka.miholjc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april2012\zaGraf%20I-IV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9"/>
          <c:w val="0.65206660337670563"/>
          <c:h val="0.56589036642323054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lll</c:v>
                </c:pt>
                <c:pt idx="12">
                  <c:v>IV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803</c:v>
                </c:pt>
                <c:pt idx="1">
                  <c:v>816</c:v>
                </c:pt>
                <c:pt idx="2">
                  <c:v>817</c:v>
                </c:pt>
                <c:pt idx="3">
                  <c:v>811</c:v>
                </c:pt>
                <c:pt idx="4">
                  <c:v>813</c:v>
                </c:pt>
                <c:pt idx="5">
                  <c:v>807</c:v>
                </c:pt>
                <c:pt idx="6">
                  <c:v>802</c:v>
                </c:pt>
                <c:pt idx="7">
                  <c:v>813</c:v>
                </c:pt>
                <c:pt idx="8">
                  <c:v>815</c:v>
                </c:pt>
                <c:pt idx="9">
                  <c:v>819</c:v>
                </c:pt>
                <c:pt idx="10">
                  <c:v>821</c:v>
                </c:pt>
                <c:pt idx="11">
                  <c:v>814</c:v>
                </c:pt>
                <c:pt idx="12">
                  <c:v>817</c:v>
                </c:pt>
              </c:numCache>
            </c:numRef>
          </c:val>
        </c:ser>
        <c:dLbls/>
        <c:marker val="1"/>
        <c:axId val="28640768"/>
        <c:axId val="28642304"/>
      </c:lineChart>
      <c:catAx>
        <c:axId val="28640768"/>
        <c:scaling>
          <c:orientation val="minMax"/>
        </c:scaling>
        <c:axPos val="b"/>
        <c:tickLblPos val="nextTo"/>
        <c:crossAx val="28642304"/>
        <c:crosses val="autoZero"/>
        <c:lblAlgn val="ctr"/>
        <c:lblOffset val="100"/>
      </c:catAx>
      <c:valAx>
        <c:axId val="28642304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28640768"/>
        <c:crosses val="autoZero"/>
        <c:crossBetween val="between"/>
        <c:majorUnit val="40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3856345292334968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zaMart2012!$A$2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zaMart2012!$B$2:$N$2</c:f>
              <c:numCache>
                <c:formatCode>General</c:formatCode>
                <c:ptCount val="13"/>
                <c:pt idx="0">
                  <c:v>344250</c:v>
                </c:pt>
                <c:pt idx="1">
                  <c:v>344720</c:v>
                </c:pt>
                <c:pt idx="2">
                  <c:v>467781</c:v>
                </c:pt>
                <c:pt idx="3">
                  <c:v>408777</c:v>
                </c:pt>
                <c:pt idx="4">
                  <c:v>375448</c:v>
                </c:pt>
                <c:pt idx="5">
                  <c:v>423860</c:v>
                </c:pt>
                <c:pt idx="6">
                  <c:v>396712</c:v>
                </c:pt>
                <c:pt idx="7">
                  <c:v>393737</c:v>
                </c:pt>
                <c:pt idx="8">
                  <c:v>456851</c:v>
                </c:pt>
                <c:pt idx="9">
                  <c:v>290628</c:v>
                </c:pt>
                <c:pt idx="10">
                  <c:v>242647</c:v>
                </c:pt>
                <c:pt idx="11">
                  <c:v>474050</c:v>
                </c:pt>
                <c:pt idx="12">
                  <c:v>372397</c:v>
                </c:pt>
              </c:numCache>
            </c:numRef>
          </c:val>
        </c:ser>
        <c:ser>
          <c:idx val="1"/>
          <c:order val="1"/>
          <c:tx>
            <c:strRef>
              <c:f>zaMart2012!$A$3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zaMart2012!$B$3:$N$3</c:f>
              <c:numCache>
                <c:formatCode>General</c:formatCode>
                <c:ptCount val="13"/>
                <c:pt idx="0">
                  <c:v>213851</c:v>
                </c:pt>
                <c:pt idx="1">
                  <c:v>207617</c:v>
                </c:pt>
                <c:pt idx="2">
                  <c:v>228912</c:v>
                </c:pt>
                <c:pt idx="3">
                  <c:v>214293</c:v>
                </c:pt>
                <c:pt idx="4">
                  <c:v>218373</c:v>
                </c:pt>
                <c:pt idx="5">
                  <c:v>248961</c:v>
                </c:pt>
                <c:pt idx="6">
                  <c:v>220859</c:v>
                </c:pt>
                <c:pt idx="7">
                  <c:v>225703</c:v>
                </c:pt>
                <c:pt idx="8">
                  <c:v>203743</c:v>
                </c:pt>
                <c:pt idx="9">
                  <c:v>158330</c:v>
                </c:pt>
                <c:pt idx="10">
                  <c:v>161327</c:v>
                </c:pt>
                <c:pt idx="11">
                  <c:v>214153</c:v>
                </c:pt>
                <c:pt idx="12">
                  <c:v>204813</c:v>
                </c:pt>
              </c:numCache>
            </c:numRef>
          </c:val>
        </c:ser>
        <c:dLbls/>
        <c:marker val="1"/>
        <c:axId val="28702592"/>
        <c:axId val="28704128"/>
      </c:lineChart>
      <c:catAx>
        <c:axId val="28702592"/>
        <c:scaling>
          <c:orientation val="minMax"/>
        </c:scaling>
        <c:axPos val="b"/>
        <c:tickLblPos val="nextTo"/>
        <c:crossAx val="28704128"/>
        <c:crosses val="autoZero"/>
        <c:auto val="1"/>
        <c:lblAlgn val="ctr"/>
        <c:lblOffset val="100"/>
      </c:catAx>
      <c:valAx>
        <c:axId val="28704128"/>
        <c:scaling>
          <c:orientation val="minMax"/>
        </c:scaling>
        <c:axPos val="l"/>
        <c:majorGridlines/>
        <c:numFmt formatCode="#\ ##0" sourceLinked="0"/>
        <c:tickLblPos val="nextTo"/>
        <c:crossAx val="2870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254"/>
          <c:w val="0.13669099874979726"/>
          <c:h val="0.16743438320210094"/>
        </c:manualLayout>
      </c:layout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E312-9587-49C1-B0B5-2729AC77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2312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16287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cejvanve</cp:lastModifiedBy>
  <cp:revision>10</cp:revision>
  <cp:lastPrinted>2012-05-18T12:20:00Z</cp:lastPrinted>
  <dcterms:created xsi:type="dcterms:W3CDTF">2012-03-21T08:18:00Z</dcterms:created>
  <dcterms:modified xsi:type="dcterms:W3CDTF">2012-05-21T13:24:00Z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